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3FC55" w14:textId="77777777" w:rsidR="00615C75" w:rsidRDefault="00615C75">
      <w:pPr>
        <w:rPr>
          <w:b/>
          <w:bCs/>
        </w:rPr>
      </w:pPr>
    </w:p>
    <w:p w14:paraId="7002D916" w14:textId="3DB90EB6" w:rsidR="00182774" w:rsidRPr="00494219" w:rsidRDefault="00010873">
      <w:pPr>
        <w:rPr>
          <w:b/>
          <w:bCs/>
          <w:sz w:val="28"/>
          <w:szCs w:val="28"/>
        </w:rPr>
      </w:pPr>
      <w:r>
        <w:rPr>
          <w:b/>
          <w:bCs/>
          <w:sz w:val="28"/>
          <w:szCs w:val="28"/>
        </w:rPr>
        <w:t>Dimensions of Inequality</w:t>
      </w:r>
      <w:r w:rsidR="005F4167" w:rsidRPr="00494219">
        <w:rPr>
          <w:b/>
          <w:bCs/>
          <w:sz w:val="28"/>
          <w:szCs w:val="28"/>
        </w:rPr>
        <w:t xml:space="preserve"> (2025)</w:t>
      </w:r>
    </w:p>
    <w:p w14:paraId="4D3B5ED7" w14:textId="77777777" w:rsidR="00A05F27" w:rsidRDefault="00A05F27" w:rsidP="00A05F27"/>
    <w:p w14:paraId="59388ACE" w14:textId="3E04211B" w:rsidR="00A05F27" w:rsidRDefault="00A05F27" w:rsidP="00A05F27">
      <w:r>
        <w:t xml:space="preserve">Inequality is rarely the result of a single factor. Instead, it emerges from the complex interplay between individual characteristics, social and economic conditions, and the environments in which people live. This chapter explores four key dimensions that shape experiences of inequality: protected characteristics, socio-economic deprivation, inclusion health and </w:t>
      </w:r>
      <w:r w:rsidR="001B46F7">
        <w:t>priority populations</w:t>
      </w:r>
      <w:r>
        <w:t>, and geography</w:t>
      </w:r>
      <w:r w:rsidR="009630FF">
        <w:t xml:space="preserve"> (Figure 1)</w:t>
      </w:r>
      <w:r>
        <w:t>. These dimensions do not operate in isolation; they intersect and compound, creating layered disadvantages for some communities.</w:t>
      </w:r>
    </w:p>
    <w:p w14:paraId="1D599747" w14:textId="6931D5E1" w:rsidR="00494219" w:rsidRDefault="00A05F27" w:rsidP="00A05F27">
      <w:r>
        <w:t>By examining these overlapping domains, we can better understand how structural barriers and systemic exclusion manifest across different population groups. This approach supports more targeted, equitable public health interventions and informs strategic decision-making across the wider system.</w:t>
      </w:r>
    </w:p>
    <w:p w14:paraId="286BD52B" w14:textId="77777777" w:rsidR="0079192A" w:rsidRDefault="0079192A" w:rsidP="00A05F27"/>
    <w:p w14:paraId="5D552759" w14:textId="7DEFF35F" w:rsidR="009630FF" w:rsidRPr="000A770F" w:rsidRDefault="009630FF" w:rsidP="00A05F27">
      <w:pPr>
        <w:rPr>
          <w:b/>
          <w:bCs/>
        </w:rPr>
      </w:pPr>
      <w:r w:rsidRPr="4A0FBECE">
        <w:rPr>
          <w:b/>
          <w:bCs/>
        </w:rPr>
        <w:t>Figure 1: Dimensions of Inequality</w:t>
      </w:r>
    </w:p>
    <w:p w14:paraId="12EEDEB0" w14:textId="25D4AFA2" w:rsidR="00494219" w:rsidRDefault="0079192A">
      <w:pPr>
        <w:rPr>
          <w:b/>
          <w:bCs/>
          <w:sz w:val="28"/>
          <w:szCs w:val="28"/>
        </w:rPr>
      </w:pPr>
      <w:r>
        <w:rPr>
          <w:noProof/>
        </w:rPr>
        <w:drawing>
          <wp:inline distT="0" distB="0" distL="0" distR="0" wp14:anchorId="1640CF7D" wp14:editId="18E5FE37">
            <wp:extent cx="4343400" cy="3368951"/>
            <wp:effectExtent l="0" t="0" r="0" b="3175"/>
            <wp:docPr id="1495196435" name="Picture 1" descr="A diagram of different characteristic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196435" name="Picture 1" descr="A diagram of different characteristics&#10;&#10;AI-generated content may be incorrect."/>
                    <pic:cNvPicPr/>
                  </pic:nvPicPr>
                  <pic:blipFill>
                    <a:blip r:embed="rId10"/>
                    <a:stretch>
                      <a:fillRect/>
                    </a:stretch>
                  </pic:blipFill>
                  <pic:spPr>
                    <a:xfrm>
                      <a:off x="0" y="0"/>
                      <a:ext cx="4363132" cy="3384256"/>
                    </a:xfrm>
                    <a:prstGeom prst="rect">
                      <a:avLst/>
                    </a:prstGeom>
                  </pic:spPr>
                </pic:pic>
              </a:graphicData>
            </a:graphic>
          </wp:inline>
        </w:drawing>
      </w:r>
    </w:p>
    <w:p w14:paraId="41577680" w14:textId="27BE8CD9" w:rsidR="4A0FBECE" w:rsidRDefault="4A0FBECE" w:rsidP="4A0FBECE">
      <w:pPr>
        <w:rPr>
          <w:sz w:val="18"/>
          <w:szCs w:val="18"/>
        </w:rPr>
      </w:pPr>
    </w:p>
    <w:p w14:paraId="0F8C7C07" w14:textId="4FD44F98" w:rsidR="4A0FBECE" w:rsidRDefault="4A0FBECE" w:rsidP="4A0FBECE">
      <w:pPr>
        <w:rPr>
          <w:sz w:val="18"/>
          <w:szCs w:val="18"/>
        </w:rPr>
      </w:pPr>
    </w:p>
    <w:p w14:paraId="474D576A" w14:textId="4E0010FC" w:rsidR="2516C51F" w:rsidRDefault="2516C51F" w:rsidP="4A0FBECE">
      <w:pPr>
        <w:rPr>
          <w:sz w:val="16"/>
          <w:szCs w:val="16"/>
        </w:rPr>
      </w:pPr>
      <w:r w:rsidRPr="4A0FBECE">
        <w:rPr>
          <w:sz w:val="18"/>
          <w:szCs w:val="18"/>
        </w:rPr>
        <w:t>Note:</w:t>
      </w:r>
      <w:r w:rsidRPr="4A0FBECE">
        <w:rPr>
          <w:b/>
          <w:bCs/>
          <w:sz w:val="18"/>
          <w:szCs w:val="18"/>
        </w:rPr>
        <w:t xml:space="preserve"> Disability</w:t>
      </w:r>
      <w:r w:rsidRPr="4A0FBECE">
        <w:rPr>
          <w:sz w:val="18"/>
          <w:szCs w:val="18"/>
        </w:rPr>
        <w:t xml:space="preserve"> refers to a broad spectrum of conditions that may limit a person’s ability to participate fully in society. This includes physical and sensory impairments, learning disabilities, long-term conditions (LTCs), neurodivergence (such as autism and ADHD), mental illness, and age-related frailty including dementia. </w:t>
      </w:r>
    </w:p>
    <w:p w14:paraId="6A084EED" w14:textId="77777777" w:rsidR="00CA465B" w:rsidRDefault="00CA465B">
      <w:pPr>
        <w:rPr>
          <w:b/>
          <w:bCs/>
          <w:sz w:val="28"/>
          <w:szCs w:val="28"/>
        </w:rPr>
      </w:pPr>
    </w:p>
    <w:p w14:paraId="19D64FF1" w14:textId="77777777" w:rsidR="009544E2" w:rsidRDefault="009544E2">
      <w:pPr>
        <w:rPr>
          <w:b/>
          <w:bCs/>
          <w:sz w:val="28"/>
          <w:szCs w:val="28"/>
        </w:rPr>
      </w:pPr>
    </w:p>
    <w:p w14:paraId="2D94766A" w14:textId="23551AB9" w:rsidR="00B15DD7" w:rsidRPr="00494219" w:rsidRDefault="003E7D20">
      <w:pPr>
        <w:rPr>
          <w:b/>
          <w:bCs/>
          <w:sz w:val="28"/>
          <w:szCs w:val="28"/>
        </w:rPr>
      </w:pPr>
      <w:r w:rsidRPr="00494219">
        <w:rPr>
          <w:b/>
          <w:bCs/>
          <w:sz w:val="28"/>
          <w:szCs w:val="28"/>
        </w:rPr>
        <w:lastRenderedPageBreak/>
        <w:t xml:space="preserve">JSNA Headline Dashboard </w:t>
      </w:r>
      <w:r w:rsidR="00E250D2" w:rsidRPr="00494219">
        <w:rPr>
          <w:b/>
          <w:bCs/>
          <w:sz w:val="28"/>
          <w:szCs w:val="28"/>
        </w:rPr>
        <w:t>Observations</w:t>
      </w:r>
    </w:p>
    <w:p w14:paraId="4728F03D" w14:textId="1F7F1C21" w:rsidR="007A71DD" w:rsidRPr="000A770F" w:rsidRDefault="007A71DD" w:rsidP="00772F0A">
      <w:pPr>
        <w:rPr>
          <w:b/>
          <w:bCs/>
        </w:rPr>
      </w:pPr>
      <w:r w:rsidRPr="000A770F">
        <w:rPr>
          <w:b/>
          <w:bCs/>
        </w:rPr>
        <w:t>Life Expectancy</w:t>
      </w:r>
    </w:p>
    <w:p w14:paraId="5C45AD9C" w14:textId="30CD4A06" w:rsidR="00772F0A" w:rsidRDefault="00772F0A" w:rsidP="00772F0A">
      <w:r>
        <w:t>Life expectancy refers to the average number of years a person is expected to live based on current mortality patterns, while healthy life expectancy (HLE) estimates the number of those years likely to be spent in good health. Together, these measures offer insight into not only how long people live, but also the quality of those years.</w:t>
      </w:r>
    </w:p>
    <w:p w14:paraId="5359FB90" w14:textId="2720AEA6" w:rsidR="00772F0A" w:rsidRDefault="00772F0A" w:rsidP="00772F0A">
      <w:r>
        <w:t>People with protected characteristics such as disability, ethnicity, sex and sexual orientation often experience significant differences in both life expectancy and healthy life expectancy. These inequalities are shaped by structural barriers, discrimination, and unequal access to the building blocks of health, including housing, education, employment and healthcare.</w:t>
      </w:r>
    </w:p>
    <w:p w14:paraId="0F80CBB9" w14:textId="2D203AAA" w:rsidR="00772F0A" w:rsidRDefault="00772F0A" w:rsidP="00772F0A">
      <w:r>
        <w:t>In Devon, females live longer than males (81.8 years compared to 77.4), but they also experience a greater gap in both life expectancy and healthy life expectancy. The life expectancy gap is 10.7 years for females and 9.5 years for males, indicating that women not only live longer but also spend more years in poor health. Although both sexes report the same healthy life expectancy (64.6 years), the wider gap for females highlights gendered inequalities in later life.</w:t>
      </w:r>
    </w:p>
    <w:p w14:paraId="0CE3FAEC" w14:textId="30DB34E6" w:rsidR="00772F0A" w:rsidRDefault="00772F0A" w:rsidP="00772F0A">
      <w:r>
        <w:t>These differences are further compounded by deprivation and geography. People living in the most deprived areas experience significantly worse outcomes than those in the least deprived, with a marked life expectancy gap of 6.3 years. Geographic variation also plays a role, with rural populations living on average two years longer than urban populations.</w:t>
      </w:r>
      <w:r w:rsidR="1DE78B7B">
        <w:t xml:space="preserve"> </w:t>
      </w:r>
      <w:r w:rsidR="0BEBDEC3">
        <w:t>However, this masks the reality of pockets of nested rural deprivation, where small, dispersed communities experience hidden disadvantage within otherwise affluent rural areas</w:t>
      </w:r>
      <w:r w:rsidR="4A0C4ED6">
        <w:t xml:space="preserve">. </w:t>
      </w:r>
    </w:p>
    <w:p w14:paraId="274CE349" w14:textId="4EF37E3B" w:rsidR="00772F0A" w:rsidRDefault="00772F0A" w:rsidP="00772F0A">
      <w:r>
        <w:t>Differences are even more stark when looking at small areas across Devon, where there can be up to a 15-year difference in life expectancy. These patterns underscore the importance of addressing structural inequalities and ensuring equitable access to the building blocks of health across all communities.</w:t>
      </w:r>
    </w:p>
    <w:p w14:paraId="1FF0DB3D" w14:textId="034CE074" w:rsidR="00772F0A" w:rsidRDefault="6750DA06" w:rsidP="00772F0A">
      <w:r>
        <w:t xml:space="preserve">Beyond these broad patterns, certain groups face even more pronounced disparities. Inclusion health </w:t>
      </w:r>
      <w:r w:rsidR="00772F0A">
        <w:t xml:space="preserve">and </w:t>
      </w:r>
      <w:r w:rsidR="00E02A20">
        <w:t>priority populations</w:t>
      </w:r>
      <w:r w:rsidR="007A71DD">
        <w:t xml:space="preserve"> </w:t>
      </w:r>
      <w:r>
        <w:t xml:space="preserve">highlight the </w:t>
      </w:r>
      <w:r w:rsidR="00772F0A">
        <w:t>deep-rooted inequalities in society. These groups include people experiencing homelessness, substance dependence, imprisonment</w:t>
      </w:r>
      <w:r w:rsidR="0058611B">
        <w:t>, systemic barriers linked to migration status</w:t>
      </w:r>
      <w:r w:rsidR="00772F0A">
        <w:t xml:space="preserve"> and severe mental illness. They often face multiple, overlapping disadvantages that severely impact their health outcomes. For example, individuals experiencing homelessness in the UK have life expectancies that are 30 to 40 years lower than the national average. This reflects the cumulative effects of poor living conditions, limited access to healthcare, and chronic disease burden.</w:t>
      </w:r>
    </w:p>
    <w:p w14:paraId="7810CBBF" w14:textId="54103DCA" w:rsidR="002C4366" w:rsidRDefault="00772F0A" w:rsidP="00772F0A">
      <w:r>
        <w:t>Inclusion health focuses on addressing the needs of socially excluded populations who are underserved by mainstream health and care systems. These groups often experience significant barriers to accessing services, including stigma, discrimination, and lack of continuity in care. As a result, they are more likely to have undiagnosed and untreated conditions, higher rates of communicable diseases, and poorer mental health. Ethnic minority groups and people living in deprived areas also face substantial health inequalities, with gaps in healthy life expectancy reaching up to 20 years between the most and least advantaged communities.</w:t>
      </w:r>
    </w:p>
    <w:p w14:paraId="202AD135" w14:textId="6563E009" w:rsidR="6750DA06" w:rsidRDefault="6750DA06" w:rsidP="17AAF0CE">
      <w:r>
        <w:t xml:space="preserve">Emerging dimensions of inequality, such as gender identity and neurodiversity, also warrant focused attention. Trans people experience disproportionately high rates of mental health issues, including </w:t>
      </w:r>
      <w:r>
        <w:lastRenderedPageBreak/>
        <w:t xml:space="preserve">anxiety, depression, and suicidal ideation. These outcomes are driven by stigma, discrimination, and barriers to accessing gender-affirming care. </w:t>
      </w:r>
      <w:r w:rsidR="005B1689" w:rsidRPr="005B1689">
        <w:t>Estimated wait times for gender clinic appointments vary across the country, with some spanning many years, highlighting a critical gap in service provision.</w:t>
      </w:r>
      <w:r w:rsidR="002D396A">
        <w:t xml:space="preserve"> </w:t>
      </w:r>
      <w:r>
        <w:t>Housing insecurity and lack of inclusive services further compound these challenges. Addressing trans health inequalities requires trauma-informed, inclusive, and affirming service models.</w:t>
      </w:r>
    </w:p>
    <w:p w14:paraId="462779D3" w14:textId="3137322A" w:rsidR="6750DA06" w:rsidRDefault="6750DA06" w:rsidP="17AAF0CE">
      <w:r>
        <w:t xml:space="preserve">Neurodiversity, including conditions such as autism and ADHD, is increasingly recognised as a dimension of inequality. Although not always classified as a disability, neurodivergent individuals often face exclusion in education, employment, and healthcare systems. Recent </w:t>
      </w:r>
      <w:r w:rsidR="6F781F4E">
        <w:t xml:space="preserve">local research </w:t>
      </w:r>
      <w:r>
        <w:t>highlights the significant impact of neurodiversity on health and wellbeing outcomes, particularly in relation to service accessibility and social inclusion. This calls for more inclusive design and support across public services.</w:t>
      </w:r>
    </w:p>
    <w:p w14:paraId="6860DCA5" w14:textId="2DD084C9" w:rsidR="002C4366" w:rsidRDefault="002C4366" w:rsidP="00772F0A">
      <w:pPr>
        <w:rPr>
          <w:b/>
          <w:bCs/>
        </w:rPr>
      </w:pPr>
    </w:p>
    <w:p w14:paraId="1E760461" w14:textId="16031872" w:rsidR="002C4366" w:rsidRPr="000A770F" w:rsidRDefault="002C4366" w:rsidP="00772F0A">
      <w:pPr>
        <w:rPr>
          <w:b/>
          <w:bCs/>
        </w:rPr>
      </w:pPr>
      <w:r>
        <w:rPr>
          <w:b/>
          <w:bCs/>
        </w:rPr>
        <w:t>Building Blocks of Health</w:t>
      </w:r>
    </w:p>
    <w:p w14:paraId="77135D1A" w14:textId="33B50E8F" w:rsidR="00C04621" w:rsidRDefault="00BC65B9" w:rsidP="4A0FBECE">
      <w:r>
        <w:t xml:space="preserve">The "building blocks of health" refer to the essential conditions and resources that enable people and communities to achieve and maintain good health. </w:t>
      </w:r>
      <w:r w:rsidR="6ECBA240">
        <w:t xml:space="preserve">Building blocks are the practical interpretation of the wider determinants of health. </w:t>
      </w:r>
      <w:r>
        <w:t xml:space="preserve">For inclusion health and </w:t>
      </w:r>
      <w:r w:rsidR="00E02A20">
        <w:t>priority populations</w:t>
      </w:r>
      <w:r>
        <w:t>, these building blocks are often compromised or inaccessible, contributing to poorer health outcomes and reduced life expectancy</w:t>
      </w:r>
      <w:r w:rsidR="32572438">
        <w:t xml:space="preserve">. </w:t>
      </w:r>
    </w:p>
    <w:p w14:paraId="5F94FD17" w14:textId="0944EF4F" w:rsidR="00C04621" w:rsidRDefault="00EF63FD" w:rsidP="00EF63FD">
      <w:r>
        <w:t>Table 1</w:t>
      </w:r>
      <w:r w:rsidR="00710AC1">
        <w:t xml:space="preserve"> overleaf</w:t>
      </w:r>
      <w:r w:rsidR="00C04621">
        <w:t xml:space="preserve"> describes how the building blocks apply across all groups within the dimension of inequality. </w:t>
      </w:r>
    </w:p>
    <w:p w14:paraId="49270628" w14:textId="77777777" w:rsidR="00EF63FD" w:rsidRDefault="00EF63FD" w:rsidP="00FE3C10"/>
    <w:p w14:paraId="12DEEDC2" w14:textId="6C3A6F11" w:rsidR="00EF63FD" w:rsidRDefault="00EF63FD" w:rsidP="00CA465B">
      <w:r>
        <w:rPr>
          <w:b/>
          <w:bCs/>
        </w:rPr>
        <w:t xml:space="preserve">Table 1: </w:t>
      </w:r>
      <w:r w:rsidR="00CA465B">
        <w:rPr>
          <w:b/>
          <w:bCs/>
        </w:rPr>
        <w:t>Building Blocks of Health across the Dimensions of Inequality</w:t>
      </w:r>
    </w:p>
    <w:tbl>
      <w:tblPr>
        <w:tblStyle w:val="GridTable4-Accent1"/>
        <w:tblW w:w="9776" w:type="dxa"/>
        <w:tblLook w:val="04A0" w:firstRow="1" w:lastRow="0" w:firstColumn="1" w:lastColumn="0" w:noHBand="0" w:noVBand="1"/>
      </w:tblPr>
      <w:tblGrid>
        <w:gridCol w:w="2972"/>
        <w:gridCol w:w="2835"/>
        <w:gridCol w:w="3969"/>
      </w:tblGrid>
      <w:tr w:rsidR="00EF63FD" w14:paraId="02FA2E90" w14:textId="77777777" w:rsidTr="4A0FBE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ED98E69" w14:textId="77777777" w:rsidR="00EF63FD" w:rsidRPr="000A770F" w:rsidRDefault="00EF63FD">
            <w:pPr>
              <w:rPr>
                <w:b w:val="0"/>
              </w:rPr>
            </w:pPr>
            <w:r w:rsidRPr="00EF63FD">
              <w:t>Dimension</w:t>
            </w:r>
          </w:p>
        </w:tc>
        <w:tc>
          <w:tcPr>
            <w:tcW w:w="2835" w:type="dxa"/>
          </w:tcPr>
          <w:p w14:paraId="1B392491" w14:textId="77777777" w:rsidR="00EF63FD" w:rsidRPr="000A770F" w:rsidRDefault="00EF63FD">
            <w:pPr>
              <w:cnfStyle w:val="100000000000" w:firstRow="1" w:lastRow="0" w:firstColumn="0" w:lastColumn="0" w:oddVBand="0" w:evenVBand="0" w:oddHBand="0" w:evenHBand="0" w:firstRowFirstColumn="0" w:firstRowLastColumn="0" w:lastRowFirstColumn="0" w:lastRowLastColumn="0"/>
              <w:rPr>
                <w:b w:val="0"/>
              </w:rPr>
            </w:pPr>
            <w:r w:rsidRPr="00EF63FD">
              <w:t>Group</w:t>
            </w:r>
          </w:p>
        </w:tc>
        <w:tc>
          <w:tcPr>
            <w:tcW w:w="3969" w:type="dxa"/>
          </w:tcPr>
          <w:p w14:paraId="7A3CA105" w14:textId="77777777" w:rsidR="00EF63FD" w:rsidRPr="000A770F" w:rsidRDefault="00EF63FD">
            <w:pPr>
              <w:cnfStyle w:val="100000000000" w:firstRow="1" w:lastRow="0" w:firstColumn="0" w:lastColumn="0" w:oddVBand="0" w:evenVBand="0" w:oddHBand="0" w:evenHBand="0" w:firstRowFirstColumn="0" w:firstRowLastColumn="0" w:lastRowFirstColumn="0" w:lastRowLastColumn="0"/>
              <w:rPr>
                <w:b w:val="0"/>
              </w:rPr>
            </w:pPr>
            <w:r w:rsidRPr="00EF63FD">
              <w:t>Challenges Across Building Blocks of Health</w:t>
            </w:r>
          </w:p>
        </w:tc>
      </w:tr>
      <w:tr w:rsidR="00D0594C" w14:paraId="507D81D3" w14:textId="77777777" w:rsidTr="4A0FB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Merge w:val="restart"/>
          </w:tcPr>
          <w:p w14:paraId="286D3F9E" w14:textId="77777777" w:rsidR="00EF63FD" w:rsidRDefault="00EF63FD">
            <w:r>
              <w:t>Protected Characteristics</w:t>
            </w:r>
          </w:p>
          <w:p w14:paraId="52D8F399" w14:textId="4003D41C" w:rsidR="00EF63FD" w:rsidRDefault="00EF63FD"/>
        </w:tc>
        <w:tc>
          <w:tcPr>
            <w:tcW w:w="2835" w:type="dxa"/>
          </w:tcPr>
          <w:p w14:paraId="680611A5" w14:textId="77777777" w:rsidR="00EF63FD" w:rsidRDefault="00EF63FD">
            <w:pPr>
              <w:cnfStyle w:val="000000100000" w:firstRow="0" w:lastRow="0" w:firstColumn="0" w:lastColumn="0" w:oddVBand="0" w:evenVBand="0" w:oddHBand="1" w:evenHBand="0" w:firstRowFirstColumn="0" w:firstRowLastColumn="0" w:lastRowFirstColumn="0" w:lastRowLastColumn="0"/>
            </w:pPr>
            <w:r>
              <w:t>Age</w:t>
            </w:r>
          </w:p>
        </w:tc>
        <w:tc>
          <w:tcPr>
            <w:tcW w:w="3969" w:type="dxa"/>
          </w:tcPr>
          <w:p w14:paraId="4BDFC859" w14:textId="77777777" w:rsidR="00EF63FD" w:rsidRDefault="00EF63FD">
            <w:pPr>
              <w:cnfStyle w:val="000000100000" w:firstRow="0" w:lastRow="0" w:firstColumn="0" w:lastColumn="0" w:oddVBand="0" w:evenVBand="0" w:oddHBand="1" w:evenHBand="0" w:firstRowFirstColumn="0" w:firstRowLastColumn="0" w:lastRowFirstColumn="0" w:lastRowLastColumn="0"/>
            </w:pPr>
            <w:r>
              <w:t>Older adults: mobility, isolation, ageism; Younger people: economic insecurity, mental health risks.</w:t>
            </w:r>
          </w:p>
        </w:tc>
      </w:tr>
      <w:tr w:rsidR="00EF63FD" w14:paraId="4D5CB3B6" w14:textId="77777777" w:rsidTr="4A0FBECE">
        <w:tc>
          <w:tcPr>
            <w:cnfStyle w:val="001000000000" w:firstRow="0" w:lastRow="0" w:firstColumn="1" w:lastColumn="0" w:oddVBand="0" w:evenVBand="0" w:oddHBand="0" w:evenHBand="0" w:firstRowFirstColumn="0" w:firstRowLastColumn="0" w:lastRowFirstColumn="0" w:lastRowLastColumn="0"/>
            <w:tcW w:w="2972" w:type="dxa"/>
            <w:vMerge/>
          </w:tcPr>
          <w:p w14:paraId="58D658DC" w14:textId="6BD0B456" w:rsidR="00EF63FD" w:rsidRDefault="00EF63FD"/>
        </w:tc>
        <w:tc>
          <w:tcPr>
            <w:tcW w:w="2835" w:type="dxa"/>
          </w:tcPr>
          <w:p w14:paraId="321BE3FD" w14:textId="77777777" w:rsidR="00EF63FD" w:rsidRDefault="00EF63FD">
            <w:pPr>
              <w:cnfStyle w:val="000000000000" w:firstRow="0" w:lastRow="0" w:firstColumn="0" w:lastColumn="0" w:oddVBand="0" w:evenVBand="0" w:oddHBand="0" w:evenHBand="0" w:firstRowFirstColumn="0" w:firstRowLastColumn="0" w:lastRowFirstColumn="0" w:lastRowLastColumn="0"/>
            </w:pPr>
            <w:r>
              <w:t>Disability</w:t>
            </w:r>
          </w:p>
        </w:tc>
        <w:tc>
          <w:tcPr>
            <w:tcW w:w="3969" w:type="dxa"/>
          </w:tcPr>
          <w:p w14:paraId="7306223F" w14:textId="77777777" w:rsidR="00EF63FD" w:rsidRDefault="00EF63FD">
            <w:pPr>
              <w:cnfStyle w:val="000000000000" w:firstRow="0" w:lastRow="0" w:firstColumn="0" w:lastColumn="0" w:oddVBand="0" w:evenVBand="0" w:oddHBand="0" w:evenHBand="0" w:firstRowFirstColumn="0" w:firstRowLastColumn="0" w:lastRowFirstColumn="0" w:lastRowLastColumn="0"/>
            </w:pPr>
            <w:r>
              <w:t>Inaccessible housing, transport, and healthcare; employment discrimination; limited social inclusion.</w:t>
            </w:r>
          </w:p>
        </w:tc>
      </w:tr>
      <w:tr w:rsidR="00D0594C" w14:paraId="0627D3FA" w14:textId="77777777" w:rsidTr="4A0FB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Merge/>
          </w:tcPr>
          <w:p w14:paraId="78672B73" w14:textId="23D413DB" w:rsidR="00EF63FD" w:rsidRDefault="00EF63FD"/>
        </w:tc>
        <w:tc>
          <w:tcPr>
            <w:tcW w:w="2835" w:type="dxa"/>
          </w:tcPr>
          <w:p w14:paraId="28FACEEB" w14:textId="77777777" w:rsidR="00EF63FD" w:rsidRDefault="00EF63FD">
            <w:pPr>
              <w:cnfStyle w:val="000000100000" w:firstRow="0" w:lastRow="0" w:firstColumn="0" w:lastColumn="0" w:oddVBand="0" w:evenVBand="0" w:oddHBand="1" w:evenHBand="0" w:firstRowFirstColumn="0" w:firstRowLastColumn="0" w:lastRowFirstColumn="0" w:lastRowLastColumn="0"/>
            </w:pPr>
            <w:r>
              <w:t>Sex and Gender</w:t>
            </w:r>
          </w:p>
        </w:tc>
        <w:tc>
          <w:tcPr>
            <w:tcW w:w="3969" w:type="dxa"/>
          </w:tcPr>
          <w:p w14:paraId="38E0D5D4" w14:textId="77777777" w:rsidR="00EF63FD" w:rsidRDefault="00EF63FD">
            <w:pPr>
              <w:cnfStyle w:val="000000100000" w:firstRow="0" w:lastRow="0" w:firstColumn="0" w:lastColumn="0" w:oddVBand="0" w:evenVBand="0" w:oddHBand="1" w:evenHBand="0" w:firstRowFirstColumn="0" w:firstRowLastColumn="0" w:lastRowFirstColumn="0" w:lastRowLastColumn="0"/>
            </w:pPr>
            <w:r>
              <w:t>Gender pay gaps, unequal caregiving burdens, gender-based violence, and health service bias.</w:t>
            </w:r>
          </w:p>
        </w:tc>
      </w:tr>
      <w:tr w:rsidR="00EF63FD" w14:paraId="6F6507B3" w14:textId="77777777" w:rsidTr="4A0FBECE">
        <w:tc>
          <w:tcPr>
            <w:cnfStyle w:val="001000000000" w:firstRow="0" w:lastRow="0" w:firstColumn="1" w:lastColumn="0" w:oddVBand="0" w:evenVBand="0" w:oddHBand="0" w:evenHBand="0" w:firstRowFirstColumn="0" w:firstRowLastColumn="0" w:lastRowFirstColumn="0" w:lastRowLastColumn="0"/>
            <w:tcW w:w="2972" w:type="dxa"/>
            <w:vMerge/>
          </w:tcPr>
          <w:p w14:paraId="2896FDA4" w14:textId="27B6E020" w:rsidR="00EF63FD" w:rsidRDefault="00EF63FD"/>
        </w:tc>
        <w:tc>
          <w:tcPr>
            <w:tcW w:w="2835" w:type="dxa"/>
          </w:tcPr>
          <w:p w14:paraId="438D409D" w14:textId="77777777" w:rsidR="00EF63FD" w:rsidRDefault="00EF63FD">
            <w:pPr>
              <w:cnfStyle w:val="000000000000" w:firstRow="0" w:lastRow="0" w:firstColumn="0" w:lastColumn="0" w:oddVBand="0" w:evenVBand="0" w:oddHBand="0" w:evenHBand="0" w:firstRowFirstColumn="0" w:firstRowLastColumn="0" w:lastRowFirstColumn="0" w:lastRowLastColumn="0"/>
            </w:pPr>
            <w:r>
              <w:t>Race and Ethnicity</w:t>
            </w:r>
          </w:p>
        </w:tc>
        <w:tc>
          <w:tcPr>
            <w:tcW w:w="3969" w:type="dxa"/>
          </w:tcPr>
          <w:p w14:paraId="1CF49E2E" w14:textId="77777777" w:rsidR="00EF63FD" w:rsidRDefault="00EF63FD">
            <w:pPr>
              <w:cnfStyle w:val="000000000000" w:firstRow="0" w:lastRow="0" w:firstColumn="0" w:lastColumn="0" w:oddVBand="0" w:evenVBand="0" w:oddHBand="0" w:evenHBand="0" w:firstRowFirstColumn="0" w:firstRowLastColumn="0" w:lastRowFirstColumn="0" w:lastRowLastColumn="0"/>
            </w:pPr>
            <w:r>
              <w:t>Discrimination in housing and employment; poorer access to culturally competent healthcare; environmental hazards.</w:t>
            </w:r>
          </w:p>
        </w:tc>
      </w:tr>
      <w:tr w:rsidR="00D0594C" w14:paraId="7D48F541" w14:textId="77777777" w:rsidTr="4A0FB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Merge/>
          </w:tcPr>
          <w:p w14:paraId="11E558B0" w14:textId="4E0BEC2A" w:rsidR="00EF63FD" w:rsidRDefault="00EF63FD"/>
        </w:tc>
        <w:tc>
          <w:tcPr>
            <w:tcW w:w="2835" w:type="dxa"/>
          </w:tcPr>
          <w:p w14:paraId="59A4F236" w14:textId="77777777" w:rsidR="00EF63FD" w:rsidRDefault="00EF63FD">
            <w:pPr>
              <w:cnfStyle w:val="000000100000" w:firstRow="0" w:lastRow="0" w:firstColumn="0" w:lastColumn="0" w:oddVBand="0" w:evenVBand="0" w:oddHBand="1" w:evenHBand="0" w:firstRowFirstColumn="0" w:firstRowLastColumn="0" w:lastRowFirstColumn="0" w:lastRowLastColumn="0"/>
            </w:pPr>
            <w:r>
              <w:t xml:space="preserve">Sexual Orientation </w:t>
            </w:r>
          </w:p>
          <w:p w14:paraId="268818C1" w14:textId="295F90B4" w:rsidR="00556FBB" w:rsidRDefault="00556FBB">
            <w:pPr>
              <w:cnfStyle w:val="000000100000" w:firstRow="0" w:lastRow="0" w:firstColumn="0" w:lastColumn="0" w:oddVBand="0" w:evenVBand="0" w:oddHBand="1" w:evenHBand="0" w:firstRowFirstColumn="0" w:firstRowLastColumn="0" w:lastRowFirstColumn="0" w:lastRowLastColumn="0"/>
            </w:pPr>
          </w:p>
        </w:tc>
        <w:tc>
          <w:tcPr>
            <w:tcW w:w="3969" w:type="dxa"/>
          </w:tcPr>
          <w:p w14:paraId="4E2A5C29" w14:textId="77777777" w:rsidR="00EF63FD" w:rsidRDefault="00EF63FD">
            <w:pPr>
              <w:cnfStyle w:val="000000100000" w:firstRow="0" w:lastRow="0" w:firstColumn="0" w:lastColumn="0" w:oddVBand="0" w:evenVBand="0" w:oddHBand="1" w:evenHBand="0" w:firstRowFirstColumn="0" w:firstRowLastColumn="0" w:lastRowFirstColumn="0" w:lastRowLastColumn="0"/>
            </w:pPr>
            <w:r>
              <w:t>Stigma, mental health risks, unsafe housing, and lack of inclusive services.</w:t>
            </w:r>
          </w:p>
        </w:tc>
      </w:tr>
      <w:tr w:rsidR="00556FBB" w14:paraId="0536B081" w14:textId="77777777" w:rsidTr="4A0FBECE">
        <w:tc>
          <w:tcPr>
            <w:cnfStyle w:val="001000000000" w:firstRow="0" w:lastRow="0" w:firstColumn="1" w:lastColumn="0" w:oddVBand="0" w:evenVBand="0" w:oddHBand="0" w:evenHBand="0" w:firstRowFirstColumn="0" w:firstRowLastColumn="0" w:lastRowFirstColumn="0" w:lastRowLastColumn="0"/>
            <w:tcW w:w="2972" w:type="dxa"/>
            <w:vMerge/>
          </w:tcPr>
          <w:p w14:paraId="385CBEF0" w14:textId="77777777" w:rsidR="00556FBB" w:rsidRDefault="00556FBB"/>
        </w:tc>
        <w:tc>
          <w:tcPr>
            <w:tcW w:w="2835" w:type="dxa"/>
          </w:tcPr>
          <w:p w14:paraId="7FEE5303" w14:textId="22BA1EC2" w:rsidR="00556FBB" w:rsidRDefault="00556FBB">
            <w:pPr>
              <w:cnfStyle w:val="000000000000" w:firstRow="0" w:lastRow="0" w:firstColumn="0" w:lastColumn="0" w:oddVBand="0" w:evenVBand="0" w:oddHBand="0" w:evenHBand="0" w:firstRowFirstColumn="0" w:firstRowLastColumn="0" w:lastRowFirstColumn="0" w:lastRowLastColumn="0"/>
            </w:pPr>
            <w:r>
              <w:t>Gender Identity</w:t>
            </w:r>
          </w:p>
          <w:p w14:paraId="5915C51E" w14:textId="77777777" w:rsidR="00556FBB" w:rsidRDefault="00556FBB">
            <w:pPr>
              <w:cnfStyle w:val="000000000000" w:firstRow="0" w:lastRow="0" w:firstColumn="0" w:lastColumn="0" w:oddVBand="0" w:evenVBand="0" w:oddHBand="0" w:evenHBand="0" w:firstRowFirstColumn="0" w:firstRowLastColumn="0" w:lastRowFirstColumn="0" w:lastRowLastColumn="0"/>
            </w:pPr>
          </w:p>
        </w:tc>
        <w:tc>
          <w:tcPr>
            <w:tcW w:w="3969" w:type="dxa"/>
          </w:tcPr>
          <w:p w14:paraId="6A272161" w14:textId="2D6B9720" w:rsidR="77BE8904" w:rsidRDefault="77BE8904">
            <w:pPr>
              <w:cnfStyle w:val="000000000000" w:firstRow="0" w:lastRow="0" w:firstColumn="0" w:lastColumn="0" w:oddVBand="0" w:evenVBand="0" w:oddHBand="0" w:evenHBand="0" w:firstRowFirstColumn="0" w:firstRowLastColumn="0" w:lastRowFirstColumn="0" w:lastRowLastColumn="0"/>
            </w:pPr>
            <w:r>
              <w:t xml:space="preserve">Stigma, mental health risks, unsafe housing, and lack of inclusive services. Recent Healthwatch England evidence highlights systemic barriers in GP care for trans and non-binary people, including </w:t>
            </w:r>
            <w:r>
              <w:lastRenderedPageBreak/>
              <w:t>misgendering and limited access to gender-affirming care.</w:t>
            </w:r>
          </w:p>
          <w:p w14:paraId="3337F820" w14:textId="38B63845" w:rsidR="00556FBB" w:rsidRDefault="00556FBB">
            <w:pPr>
              <w:cnfStyle w:val="000000000000" w:firstRow="0" w:lastRow="0" w:firstColumn="0" w:lastColumn="0" w:oddVBand="0" w:evenVBand="0" w:oddHBand="0" w:evenHBand="0" w:firstRowFirstColumn="0" w:firstRowLastColumn="0" w:lastRowFirstColumn="0" w:lastRowLastColumn="0"/>
            </w:pPr>
          </w:p>
        </w:tc>
      </w:tr>
      <w:tr w:rsidR="00EF63FD" w14:paraId="72E1E117" w14:textId="77777777" w:rsidTr="4A0FB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Merge/>
          </w:tcPr>
          <w:p w14:paraId="0B2E08C4" w14:textId="042E970F" w:rsidR="00EF63FD" w:rsidRDefault="00EF63FD"/>
        </w:tc>
        <w:tc>
          <w:tcPr>
            <w:tcW w:w="2835" w:type="dxa"/>
          </w:tcPr>
          <w:p w14:paraId="001305EC" w14:textId="77777777" w:rsidR="00EF63FD" w:rsidRDefault="00EF63FD">
            <w:pPr>
              <w:cnfStyle w:val="000000100000" w:firstRow="0" w:lastRow="0" w:firstColumn="0" w:lastColumn="0" w:oddVBand="0" w:evenVBand="0" w:oddHBand="1" w:evenHBand="0" w:firstRowFirstColumn="0" w:firstRowLastColumn="0" w:lastRowFirstColumn="0" w:lastRowLastColumn="0"/>
            </w:pPr>
            <w:r>
              <w:t>Religion or Belief</w:t>
            </w:r>
          </w:p>
        </w:tc>
        <w:tc>
          <w:tcPr>
            <w:tcW w:w="3969" w:type="dxa"/>
          </w:tcPr>
          <w:p w14:paraId="74D6E37B" w14:textId="77777777" w:rsidR="00EF63FD" w:rsidRDefault="00EF63FD">
            <w:pPr>
              <w:cnfStyle w:val="000000100000" w:firstRow="0" w:lastRow="0" w:firstColumn="0" w:lastColumn="0" w:oddVBand="0" w:evenVBand="0" w:oddHBand="1" w:evenHBand="0" w:firstRowFirstColumn="0" w:firstRowLastColumn="0" w:lastRowFirstColumn="0" w:lastRowLastColumn="0"/>
            </w:pPr>
            <w:r>
              <w:t>Cultural insensitivity in services; discrimination in employment and education.</w:t>
            </w:r>
          </w:p>
        </w:tc>
      </w:tr>
      <w:tr w:rsidR="00D0594C" w14:paraId="52E0FA4C" w14:textId="77777777" w:rsidTr="4A0FBECE">
        <w:tc>
          <w:tcPr>
            <w:cnfStyle w:val="001000000000" w:firstRow="0" w:lastRow="0" w:firstColumn="1" w:lastColumn="0" w:oddVBand="0" w:evenVBand="0" w:oddHBand="0" w:evenHBand="0" w:firstRowFirstColumn="0" w:firstRowLastColumn="0" w:lastRowFirstColumn="0" w:lastRowLastColumn="0"/>
            <w:tcW w:w="2972" w:type="dxa"/>
            <w:vMerge/>
          </w:tcPr>
          <w:p w14:paraId="5E851D20" w14:textId="37A7A37F" w:rsidR="00EF63FD" w:rsidRDefault="00EF63FD"/>
        </w:tc>
        <w:tc>
          <w:tcPr>
            <w:tcW w:w="2835" w:type="dxa"/>
          </w:tcPr>
          <w:p w14:paraId="33BB3283" w14:textId="77777777" w:rsidR="00EF63FD" w:rsidRDefault="00EF63FD">
            <w:pPr>
              <w:cnfStyle w:val="000000000000" w:firstRow="0" w:lastRow="0" w:firstColumn="0" w:lastColumn="0" w:oddVBand="0" w:evenVBand="0" w:oddHBand="0" w:evenHBand="0" w:firstRowFirstColumn="0" w:firstRowLastColumn="0" w:lastRowFirstColumn="0" w:lastRowLastColumn="0"/>
            </w:pPr>
            <w:r>
              <w:t>Pregnancy &amp; Maternity</w:t>
            </w:r>
          </w:p>
        </w:tc>
        <w:tc>
          <w:tcPr>
            <w:tcW w:w="3969" w:type="dxa"/>
          </w:tcPr>
          <w:p w14:paraId="2F8D95EC" w14:textId="77777777" w:rsidR="00EF63FD" w:rsidRDefault="00EF63FD">
            <w:pPr>
              <w:cnfStyle w:val="000000000000" w:firstRow="0" w:lastRow="0" w:firstColumn="0" w:lastColumn="0" w:oddVBand="0" w:evenVBand="0" w:oddHBand="0" w:evenHBand="0" w:firstRowFirstColumn="0" w:firstRowLastColumn="0" w:lastRowFirstColumn="0" w:lastRowLastColumn="0"/>
            </w:pPr>
            <w:r>
              <w:t>Employment insecurity, housing instability, unequal access to maternal healthcare.</w:t>
            </w:r>
          </w:p>
        </w:tc>
      </w:tr>
      <w:tr w:rsidR="00EF63FD" w14:paraId="3D0ECA35" w14:textId="77777777" w:rsidTr="4A0FB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Merge/>
          </w:tcPr>
          <w:p w14:paraId="275006E0" w14:textId="6DF32C77" w:rsidR="00EF63FD" w:rsidRDefault="00EF63FD"/>
        </w:tc>
        <w:tc>
          <w:tcPr>
            <w:tcW w:w="2835" w:type="dxa"/>
          </w:tcPr>
          <w:p w14:paraId="44248CC7" w14:textId="77777777" w:rsidR="00EF63FD" w:rsidRDefault="00EF63FD">
            <w:pPr>
              <w:cnfStyle w:val="000000100000" w:firstRow="0" w:lastRow="0" w:firstColumn="0" w:lastColumn="0" w:oddVBand="0" w:evenVBand="0" w:oddHBand="1" w:evenHBand="0" w:firstRowFirstColumn="0" w:firstRowLastColumn="0" w:lastRowFirstColumn="0" w:lastRowLastColumn="0"/>
            </w:pPr>
            <w:r>
              <w:t>Marriage &amp; Civil Partnership</w:t>
            </w:r>
          </w:p>
        </w:tc>
        <w:tc>
          <w:tcPr>
            <w:tcW w:w="3969" w:type="dxa"/>
          </w:tcPr>
          <w:p w14:paraId="2957FB64" w14:textId="77777777" w:rsidR="00EF63FD" w:rsidRDefault="00EF63FD">
            <w:pPr>
              <w:cnfStyle w:val="000000100000" w:firstRow="0" w:lastRow="0" w:firstColumn="0" w:lastColumn="0" w:oddVBand="0" w:evenVBand="0" w:oddHBand="1" w:evenHBand="0" w:firstRowFirstColumn="0" w:firstRowLastColumn="0" w:lastRowFirstColumn="0" w:lastRowLastColumn="0"/>
            </w:pPr>
            <w:r>
              <w:t>May influence access to benefits, housing, and social support systems.</w:t>
            </w:r>
          </w:p>
          <w:p w14:paraId="49397A1F" w14:textId="5FAB00BF" w:rsidR="00CA465B" w:rsidRDefault="00CA465B">
            <w:pPr>
              <w:cnfStyle w:val="000000100000" w:firstRow="0" w:lastRow="0" w:firstColumn="0" w:lastColumn="0" w:oddVBand="0" w:evenVBand="0" w:oddHBand="1" w:evenHBand="0" w:firstRowFirstColumn="0" w:firstRowLastColumn="0" w:lastRowFirstColumn="0" w:lastRowLastColumn="0"/>
            </w:pPr>
          </w:p>
        </w:tc>
      </w:tr>
      <w:tr w:rsidR="00D0594C" w14:paraId="52E60DDC" w14:textId="77777777" w:rsidTr="4A0FBECE">
        <w:tc>
          <w:tcPr>
            <w:cnfStyle w:val="001000000000" w:firstRow="0" w:lastRow="0" w:firstColumn="1" w:lastColumn="0" w:oddVBand="0" w:evenVBand="0" w:oddHBand="0" w:evenHBand="0" w:firstRowFirstColumn="0" w:firstRowLastColumn="0" w:lastRowFirstColumn="0" w:lastRowLastColumn="0"/>
            <w:tcW w:w="2972" w:type="dxa"/>
            <w:vMerge w:val="restart"/>
          </w:tcPr>
          <w:p w14:paraId="07DBA753" w14:textId="77777777" w:rsidR="00EF63FD" w:rsidRDefault="00EF63FD">
            <w:r>
              <w:t>Socio-Economic Deprivation</w:t>
            </w:r>
          </w:p>
          <w:p w14:paraId="7B703003" w14:textId="2A33122F" w:rsidR="00EF63FD" w:rsidRDefault="00EF63FD"/>
        </w:tc>
        <w:tc>
          <w:tcPr>
            <w:tcW w:w="2835" w:type="dxa"/>
          </w:tcPr>
          <w:p w14:paraId="19EEDE59" w14:textId="77777777" w:rsidR="00EF63FD" w:rsidRDefault="00EF63FD">
            <w:pPr>
              <w:cnfStyle w:val="000000000000" w:firstRow="0" w:lastRow="0" w:firstColumn="0" w:lastColumn="0" w:oddVBand="0" w:evenVBand="0" w:oddHBand="0" w:evenHBand="0" w:firstRowFirstColumn="0" w:firstRowLastColumn="0" w:lastRowFirstColumn="0" w:lastRowLastColumn="0"/>
            </w:pPr>
            <w:r>
              <w:t>Low-income households</w:t>
            </w:r>
          </w:p>
        </w:tc>
        <w:tc>
          <w:tcPr>
            <w:tcW w:w="3969" w:type="dxa"/>
          </w:tcPr>
          <w:p w14:paraId="7BD4CE86" w14:textId="77777777" w:rsidR="00EF63FD" w:rsidRDefault="00EF63FD">
            <w:pPr>
              <w:cnfStyle w:val="000000000000" w:firstRow="0" w:lastRow="0" w:firstColumn="0" w:lastColumn="0" w:oddVBand="0" w:evenVBand="0" w:oddHBand="0" w:evenHBand="0" w:firstRowFirstColumn="0" w:firstRowLastColumn="0" w:lastRowFirstColumn="0" w:lastRowLastColumn="0"/>
            </w:pPr>
            <w:r>
              <w:t>Poor housing, food insecurity, limited healthcare access, transport poverty.</w:t>
            </w:r>
          </w:p>
        </w:tc>
      </w:tr>
      <w:tr w:rsidR="00EF63FD" w14:paraId="33D7E348" w14:textId="77777777" w:rsidTr="4A0FB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Merge/>
          </w:tcPr>
          <w:p w14:paraId="68D50092" w14:textId="553E46E8" w:rsidR="00EF63FD" w:rsidRDefault="00EF63FD"/>
        </w:tc>
        <w:tc>
          <w:tcPr>
            <w:tcW w:w="2835" w:type="dxa"/>
          </w:tcPr>
          <w:p w14:paraId="4E83D5C7" w14:textId="77777777" w:rsidR="00EF63FD" w:rsidRDefault="00EF63FD">
            <w:pPr>
              <w:cnfStyle w:val="000000100000" w:firstRow="0" w:lastRow="0" w:firstColumn="0" w:lastColumn="0" w:oddVBand="0" w:evenVBand="0" w:oddHBand="1" w:evenHBand="0" w:firstRowFirstColumn="0" w:firstRowLastColumn="0" w:lastRowFirstColumn="0" w:lastRowLastColumn="0"/>
            </w:pPr>
            <w:r>
              <w:t>Unemployed individuals</w:t>
            </w:r>
          </w:p>
        </w:tc>
        <w:tc>
          <w:tcPr>
            <w:tcW w:w="3969" w:type="dxa"/>
          </w:tcPr>
          <w:p w14:paraId="32AD0CFC" w14:textId="77777777" w:rsidR="00EF63FD" w:rsidRDefault="00EF63FD">
            <w:pPr>
              <w:cnfStyle w:val="000000100000" w:firstRow="0" w:lastRow="0" w:firstColumn="0" w:lastColumn="0" w:oddVBand="0" w:evenVBand="0" w:oddHBand="1" w:evenHBand="0" w:firstRowFirstColumn="0" w:firstRowLastColumn="0" w:lastRowFirstColumn="0" w:lastRowLastColumn="0"/>
            </w:pPr>
            <w:r>
              <w:t>Economic exclusion, mental health risks, reduced access to services.</w:t>
            </w:r>
          </w:p>
        </w:tc>
      </w:tr>
      <w:tr w:rsidR="00D0594C" w14:paraId="31106DA0" w14:textId="77777777" w:rsidTr="4A0FBECE">
        <w:tc>
          <w:tcPr>
            <w:cnfStyle w:val="001000000000" w:firstRow="0" w:lastRow="0" w:firstColumn="1" w:lastColumn="0" w:oddVBand="0" w:evenVBand="0" w:oddHBand="0" w:evenHBand="0" w:firstRowFirstColumn="0" w:firstRowLastColumn="0" w:lastRowFirstColumn="0" w:lastRowLastColumn="0"/>
            <w:tcW w:w="2972" w:type="dxa"/>
            <w:vMerge/>
          </w:tcPr>
          <w:p w14:paraId="7C3722C9" w14:textId="7DC8642B" w:rsidR="00EF63FD" w:rsidRDefault="00EF63FD"/>
        </w:tc>
        <w:tc>
          <w:tcPr>
            <w:tcW w:w="2835" w:type="dxa"/>
          </w:tcPr>
          <w:p w14:paraId="6A3E6CDB" w14:textId="77777777" w:rsidR="00EF63FD" w:rsidRDefault="00EF63FD">
            <w:pPr>
              <w:cnfStyle w:val="000000000000" w:firstRow="0" w:lastRow="0" w:firstColumn="0" w:lastColumn="0" w:oddVBand="0" w:evenVBand="0" w:oddHBand="0" w:evenHBand="0" w:firstRowFirstColumn="0" w:firstRowLastColumn="0" w:lastRowFirstColumn="0" w:lastRowLastColumn="0"/>
            </w:pPr>
            <w:r>
              <w:t>Low educational attainment</w:t>
            </w:r>
          </w:p>
        </w:tc>
        <w:tc>
          <w:tcPr>
            <w:tcW w:w="3969" w:type="dxa"/>
          </w:tcPr>
          <w:p w14:paraId="77E306DD" w14:textId="77777777" w:rsidR="00EF63FD" w:rsidRDefault="00EF63FD">
            <w:pPr>
              <w:cnfStyle w:val="000000000000" w:firstRow="0" w:lastRow="0" w:firstColumn="0" w:lastColumn="0" w:oddVBand="0" w:evenVBand="0" w:oddHBand="0" w:evenHBand="0" w:firstRowFirstColumn="0" w:firstRowLastColumn="0" w:lastRowFirstColumn="0" w:lastRowLastColumn="0"/>
            </w:pPr>
            <w:r>
              <w:t>Lower health literacy, employment barriers, reduced engagement with health systems.</w:t>
            </w:r>
          </w:p>
        </w:tc>
      </w:tr>
      <w:tr w:rsidR="00EF63FD" w14:paraId="780D7B8B" w14:textId="77777777" w:rsidTr="4A0FB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Merge/>
          </w:tcPr>
          <w:p w14:paraId="0A724431" w14:textId="40338C72" w:rsidR="00EF63FD" w:rsidRDefault="00EF63FD"/>
        </w:tc>
        <w:tc>
          <w:tcPr>
            <w:tcW w:w="2835" w:type="dxa"/>
          </w:tcPr>
          <w:p w14:paraId="5CAEC57F" w14:textId="77777777" w:rsidR="00EF63FD" w:rsidRDefault="00EF63FD">
            <w:pPr>
              <w:cnfStyle w:val="000000100000" w:firstRow="0" w:lastRow="0" w:firstColumn="0" w:lastColumn="0" w:oddVBand="0" w:evenVBand="0" w:oddHBand="1" w:evenHBand="0" w:firstRowFirstColumn="0" w:firstRowLastColumn="0" w:lastRowFirstColumn="0" w:lastRowLastColumn="0"/>
            </w:pPr>
            <w:r>
              <w:t>Poor housing conditions</w:t>
            </w:r>
          </w:p>
        </w:tc>
        <w:tc>
          <w:tcPr>
            <w:tcW w:w="3969" w:type="dxa"/>
          </w:tcPr>
          <w:p w14:paraId="37DB6DBB" w14:textId="77777777" w:rsidR="00EF63FD" w:rsidRDefault="00EF63FD">
            <w:pPr>
              <w:cnfStyle w:val="000000100000" w:firstRow="0" w:lastRow="0" w:firstColumn="0" w:lastColumn="0" w:oddVBand="0" w:evenVBand="0" w:oddHBand="1" w:evenHBand="0" w:firstRowFirstColumn="0" w:firstRowLastColumn="0" w:lastRowFirstColumn="0" w:lastRowLastColumn="0"/>
            </w:pPr>
            <w:r>
              <w:t>Damp, overcrowding, instability contributing to poor physical and mental health.</w:t>
            </w:r>
          </w:p>
        </w:tc>
      </w:tr>
      <w:tr w:rsidR="00D0594C" w14:paraId="0813BD0C" w14:textId="77777777" w:rsidTr="4A0FBECE">
        <w:tc>
          <w:tcPr>
            <w:cnfStyle w:val="001000000000" w:firstRow="0" w:lastRow="0" w:firstColumn="1" w:lastColumn="0" w:oddVBand="0" w:evenVBand="0" w:oddHBand="0" w:evenHBand="0" w:firstRowFirstColumn="0" w:firstRowLastColumn="0" w:lastRowFirstColumn="0" w:lastRowLastColumn="0"/>
            <w:tcW w:w="2972" w:type="dxa"/>
            <w:vMerge/>
          </w:tcPr>
          <w:p w14:paraId="384970D1" w14:textId="1EEBC422" w:rsidR="00EF63FD" w:rsidRDefault="00EF63FD"/>
        </w:tc>
        <w:tc>
          <w:tcPr>
            <w:tcW w:w="2835" w:type="dxa"/>
          </w:tcPr>
          <w:p w14:paraId="7479DC5D" w14:textId="77777777" w:rsidR="00EF63FD" w:rsidRDefault="00EF63FD">
            <w:pPr>
              <w:cnfStyle w:val="000000000000" w:firstRow="0" w:lastRow="0" w:firstColumn="0" w:lastColumn="0" w:oddVBand="0" w:evenVBand="0" w:oddHBand="0" w:evenHBand="0" w:firstRowFirstColumn="0" w:firstRowLastColumn="0" w:lastRowFirstColumn="0" w:lastRowLastColumn="0"/>
            </w:pPr>
            <w:r>
              <w:t>Occupational risk</w:t>
            </w:r>
          </w:p>
        </w:tc>
        <w:tc>
          <w:tcPr>
            <w:tcW w:w="3969" w:type="dxa"/>
          </w:tcPr>
          <w:p w14:paraId="18574587" w14:textId="77777777" w:rsidR="00EF63FD" w:rsidRDefault="00EF63FD">
            <w:pPr>
              <w:cnfStyle w:val="000000000000" w:firstRow="0" w:lastRow="0" w:firstColumn="0" w:lastColumn="0" w:oddVBand="0" w:evenVBand="0" w:oddHBand="0" w:evenHBand="0" w:firstRowFirstColumn="0" w:firstRowLastColumn="0" w:lastRowFirstColumn="0" w:lastRowLastColumn="0"/>
            </w:pPr>
            <w:r>
              <w:t>Manual or precarious jobs linked to injury, stress, and poor long-term health outcomes.</w:t>
            </w:r>
          </w:p>
          <w:p w14:paraId="0207BED8" w14:textId="3E487D92" w:rsidR="00CA465B" w:rsidRDefault="00CA465B">
            <w:pPr>
              <w:cnfStyle w:val="000000000000" w:firstRow="0" w:lastRow="0" w:firstColumn="0" w:lastColumn="0" w:oddVBand="0" w:evenVBand="0" w:oddHBand="0" w:evenHBand="0" w:firstRowFirstColumn="0" w:firstRowLastColumn="0" w:lastRowFirstColumn="0" w:lastRowLastColumn="0"/>
            </w:pPr>
          </w:p>
        </w:tc>
      </w:tr>
      <w:tr w:rsidR="00EF63FD" w14:paraId="7DBBD4AE" w14:textId="77777777" w:rsidTr="4A0FB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Merge w:val="restart"/>
          </w:tcPr>
          <w:p w14:paraId="7D15208B" w14:textId="7CADB199" w:rsidR="00EF63FD" w:rsidRDefault="00EF63FD">
            <w:r>
              <w:t xml:space="preserve">Inclusion Health &amp; </w:t>
            </w:r>
            <w:r w:rsidR="007E2358">
              <w:t>Priority Populations</w:t>
            </w:r>
          </w:p>
          <w:p w14:paraId="3D33E7CB" w14:textId="685C5F89" w:rsidR="00EF63FD" w:rsidRDefault="00EF63FD"/>
        </w:tc>
        <w:tc>
          <w:tcPr>
            <w:tcW w:w="2835" w:type="dxa"/>
          </w:tcPr>
          <w:p w14:paraId="0B503B87" w14:textId="77777777" w:rsidR="00EF63FD" w:rsidRDefault="00EF63FD">
            <w:pPr>
              <w:cnfStyle w:val="000000100000" w:firstRow="0" w:lastRow="0" w:firstColumn="0" w:lastColumn="0" w:oddVBand="0" w:evenVBand="0" w:oddHBand="1" w:evenHBand="0" w:firstRowFirstColumn="0" w:firstRowLastColumn="0" w:lastRowFirstColumn="0" w:lastRowLastColumn="0"/>
            </w:pPr>
            <w:r>
              <w:t>Homeless individuals</w:t>
            </w:r>
          </w:p>
        </w:tc>
        <w:tc>
          <w:tcPr>
            <w:tcW w:w="3969" w:type="dxa"/>
          </w:tcPr>
          <w:p w14:paraId="20086949" w14:textId="77777777" w:rsidR="00EF63FD" w:rsidRDefault="00EF63FD">
            <w:pPr>
              <w:cnfStyle w:val="000000100000" w:firstRow="0" w:lastRow="0" w:firstColumn="0" w:lastColumn="0" w:oddVBand="0" w:evenVBand="0" w:oddHBand="1" w:evenHBand="0" w:firstRowFirstColumn="0" w:firstRowLastColumn="0" w:lastRowFirstColumn="0" w:lastRowLastColumn="0"/>
            </w:pPr>
            <w:r>
              <w:t>Lack of shelter, hygiene, nutrition, and healthcare; extreme exclusion.</w:t>
            </w:r>
          </w:p>
        </w:tc>
      </w:tr>
      <w:tr w:rsidR="00D0594C" w14:paraId="474A9263" w14:textId="77777777" w:rsidTr="4A0FBECE">
        <w:tc>
          <w:tcPr>
            <w:cnfStyle w:val="001000000000" w:firstRow="0" w:lastRow="0" w:firstColumn="1" w:lastColumn="0" w:oddVBand="0" w:evenVBand="0" w:oddHBand="0" w:evenHBand="0" w:firstRowFirstColumn="0" w:firstRowLastColumn="0" w:lastRowFirstColumn="0" w:lastRowLastColumn="0"/>
            <w:tcW w:w="2972" w:type="dxa"/>
            <w:vMerge/>
          </w:tcPr>
          <w:p w14:paraId="29DB1C23" w14:textId="71D40CA8" w:rsidR="00EF63FD" w:rsidRDefault="00EF63FD"/>
        </w:tc>
        <w:tc>
          <w:tcPr>
            <w:tcW w:w="2835" w:type="dxa"/>
          </w:tcPr>
          <w:p w14:paraId="55D3272E" w14:textId="77777777" w:rsidR="00EF63FD" w:rsidRDefault="00EF63FD">
            <w:pPr>
              <w:cnfStyle w:val="000000000000" w:firstRow="0" w:lastRow="0" w:firstColumn="0" w:lastColumn="0" w:oddVBand="0" w:evenVBand="0" w:oddHBand="0" w:evenHBand="0" w:firstRowFirstColumn="0" w:firstRowLastColumn="0" w:lastRowFirstColumn="0" w:lastRowLastColumn="0"/>
            </w:pPr>
            <w:r>
              <w:t>Gypsy, Roma, Traveller &amp; Boater communities</w:t>
            </w:r>
          </w:p>
        </w:tc>
        <w:tc>
          <w:tcPr>
            <w:tcW w:w="3969" w:type="dxa"/>
          </w:tcPr>
          <w:p w14:paraId="2092FFF5" w14:textId="77777777" w:rsidR="00EF63FD" w:rsidRDefault="00EF63FD">
            <w:pPr>
              <w:cnfStyle w:val="000000000000" w:firstRow="0" w:lastRow="0" w:firstColumn="0" w:lastColumn="0" w:oddVBand="0" w:evenVBand="0" w:oddHBand="0" w:evenHBand="0" w:firstRowFirstColumn="0" w:firstRowLastColumn="0" w:lastRowFirstColumn="0" w:lastRowLastColumn="0"/>
            </w:pPr>
            <w:r>
              <w:t>Poor access to education, healthcare, and stable housing; discrimination.</w:t>
            </w:r>
          </w:p>
        </w:tc>
      </w:tr>
      <w:tr w:rsidR="00EF63FD" w14:paraId="0327DD92" w14:textId="77777777" w:rsidTr="4A0FB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Merge/>
          </w:tcPr>
          <w:p w14:paraId="2D0BB2E4" w14:textId="7F58B920" w:rsidR="00EF63FD" w:rsidRDefault="00EF63FD"/>
        </w:tc>
        <w:tc>
          <w:tcPr>
            <w:tcW w:w="2835" w:type="dxa"/>
          </w:tcPr>
          <w:p w14:paraId="34DA9FFB" w14:textId="77777777" w:rsidR="00EF63FD" w:rsidRDefault="00EF63FD">
            <w:pPr>
              <w:cnfStyle w:val="000000100000" w:firstRow="0" w:lastRow="0" w:firstColumn="0" w:lastColumn="0" w:oddVBand="0" w:evenVBand="0" w:oddHBand="1" w:evenHBand="0" w:firstRowFirstColumn="0" w:firstRowLastColumn="0" w:lastRowFirstColumn="0" w:lastRowLastColumn="0"/>
            </w:pPr>
            <w:r>
              <w:t>Offenders/former offenders</w:t>
            </w:r>
          </w:p>
        </w:tc>
        <w:tc>
          <w:tcPr>
            <w:tcW w:w="3969" w:type="dxa"/>
          </w:tcPr>
          <w:p w14:paraId="42384124" w14:textId="77777777" w:rsidR="00EF63FD" w:rsidRDefault="00EF63FD">
            <w:pPr>
              <w:cnfStyle w:val="000000100000" w:firstRow="0" w:lastRow="0" w:firstColumn="0" w:lastColumn="0" w:oddVBand="0" w:evenVBand="0" w:oddHBand="1" w:evenHBand="0" w:firstRowFirstColumn="0" w:firstRowLastColumn="0" w:lastRowFirstColumn="0" w:lastRowLastColumn="0"/>
            </w:pPr>
            <w:r>
              <w:t>Barriers to employment, housing, and healthcare; stigma and isolation.</w:t>
            </w:r>
          </w:p>
        </w:tc>
      </w:tr>
      <w:tr w:rsidR="00D0594C" w14:paraId="39C8DDDF" w14:textId="77777777" w:rsidTr="4A0FBECE">
        <w:tc>
          <w:tcPr>
            <w:cnfStyle w:val="001000000000" w:firstRow="0" w:lastRow="0" w:firstColumn="1" w:lastColumn="0" w:oddVBand="0" w:evenVBand="0" w:oddHBand="0" w:evenHBand="0" w:firstRowFirstColumn="0" w:firstRowLastColumn="0" w:lastRowFirstColumn="0" w:lastRowLastColumn="0"/>
            <w:tcW w:w="2972" w:type="dxa"/>
            <w:vMerge/>
          </w:tcPr>
          <w:p w14:paraId="2B6BD533" w14:textId="74B6F967" w:rsidR="00EF63FD" w:rsidRDefault="00EF63FD"/>
        </w:tc>
        <w:tc>
          <w:tcPr>
            <w:tcW w:w="2835" w:type="dxa"/>
          </w:tcPr>
          <w:p w14:paraId="62DED0FB" w14:textId="77777777" w:rsidR="00EF63FD" w:rsidRDefault="00EF63FD">
            <w:pPr>
              <w:cnfStyle w:val="000000000000" w:firstRow="0" w:lastRow="0" w:firstColumn="0" w:lastColumn="0" w:oddVBand="0" w:evenVBand="0" w:oddHBand="0" w:evenHBand="0" w:firstRowFirstColumn="0" w:firstRowLastColumn="0" w:lastRowFirstColumn="0" w:lastRowLastColumn="0"/>
            </w:pPr>
            <w:r>
              <w:t>Sex workers</w:t>
            </w:r>
          </w:p>
        </w:tc>
        <w:tc>
          <w:tcPr>
            <w:tcW w:w="3969" w:type="dxa"/>
          </w:tcPr>
          <w:p w14:paraId="19041AA8" w14:textId="1DF54F0F" w:rsidR="00EF63FD" w:rsidRDefault="00EF63FD">
            <w:pPr>
              <w:cnfStyle w:val="000000000000" w:firstRow="0" w:lastRow="0" w:firstColumn="0" w:lastColumn="0" w:oddVBand="0" w:evenVBand="0" w:oddHBand="0" w:evenHBand="0" w:firstRowFirstColumn="0" w:firstRowLastColumn="0" w:lastRowFirstColumn="0" w:lastRowLastColumn="0"/>
            </w:pPr>
            <w:r>
              <w:t>Safety risks, legal vulnerability, limited access to non-judgmental services.</w:t>
            </w:r>
          </w:p>
        </w:tc>
      </w:tr>
      <w:tr w:rsidR="00EF63FD" w14:paraId="5FFB571F" w14:textId="77777777" w:rsidTr="4A0FB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Merge/>
          </w:tcPr>
          <w:p w14:paraId="2AB7DDF1" w14:textId="2023520D" w:rsidR="00EF63FD" w:rsidRDefault="00EF63FD"/>
        </w:tc>
        <w:tc>
          <w:tcPr>
            <w:tcW w:w="2835" w:type="dxa"/>
          </w:tcPr>
          <w:p w14:paraId="6ACA23D7" w14:textId="77777777" w:rsidR="00EF63FD" w:rsidRDefault="00EF63FD">
            <w:pPr>
              <w:cnfStyle w:val="000000100000" w:firstRow="0" w:lastRow="0" w:firstColumn="0" w:lastColumn="0" w:oddVBand="0" w:evenVBand="0" w:oddHBand="1" w:evenHBand="0" w:firstRowFirstColumn="0" w:firstRowLastColumn="0" w:lastRowFirstColumn="0" w:lastRowLastColumn="0"/>
            </w:pPr>
            <w:r>
              <w:t>Substance dependence</w:t>
            </w:r>
          </w:p>
        </w:tc>
        <w:tc>
          <w:tcPr>
            <w:tcW w:w="3969" w:type="dxa"/>
          </w:tcPr>
          <w:p w14:paraId="67CDDF45" w14:textId="77777777" w:rsidR="00EF63FD" w:rsidRDefault="00EF63FD">
            <w:pPr>
              <w:cnfStyle w:val="000000100000" w:firstRow="0" w:lastRow="0" w:firstColumn="0" w:lastColumn="0" w:oddVBand="0" w:evenVBand="0" w:oddHBand="1" w:evenHBand="0" w:firstRowFirstColumn="0" w:firstRowLastColumn="0" w:lastRowFirstColumn="0" w:lastRowLastColumn="0"/>
            </w:pPr>
            <w:r>
              <w:t>Housing instability, criminalisation, poor physical and mental health, fragmented care.</w:t>
            </w:r>
          </w:p>
        </w:tc>
      </w:tr>
      <w:tr w:rsidR="00D0594C" w14:paraId="200515AE" w14:textId="77777777" w:rsidTr="4A0FBECE">
        <w:tc>
          <w:tcPr>
            <w:cnfStyle w:val="001000000000" w:firstRow="0" w:lastRow="0" w:firstColumn="1" w:lastColumn="0" w:oddVBand="0" w:evenVBand="0" w:oddHBand="0" w:evenHBand="0" w:firstRowFirstColumn="0" w:firstRowLastColumn="0" w:lastRowFirstColumn="0" w:lastRowLastColumn="0"/>
            <w:tcW w:w="2972" w:type="dxa"/>
            <w:vMerge/>
          </w:tcPr>
          <w:p w14:paraId="484A202B" w14:textId="7F34F5D6" w:rsidR="00EF63FD" w:rsidRDefault="00EF63FD"/>
        </w:tc>
        <w:tc>
          <w:tcPr>
            <w:tcW w:w="2835" w:type="dxa"/>
          </w:tcPr>
          <w:p w14:paraId="5EC0FEA4" w14:textId="77777777" w:rsidR="00EF63FD" w:rsidRDefault="00EF63FD">
            <w:pPr>
              <w:cnfStyle w:val="000000000000" w:firstRow="0" w:lastRow="0" w:firstColumn="0" w:lastColumn="0" w:oddVBand="0" w:evenVBand="0" w:oddHBand="0" w:evenHBand="0" w:firstRowFirstColumn="0" w:firstRowLastColumn="0" w:lastRowFirstColumn="0" w:lastRowLastColumn="0"/>
            </w:pPr>
            <w:r>
              <w:t>Migrants &amp; asylum seekers</w:t>
            </w:r>
          </w:p>
        </w:tc>
        <w:tc>
          <w:tcPr>
            <w:tcW w:w="3969" w:type="dxa"/>
          </w:tcPr>
          <w:p w14:paraId="2CF5BE6F" w14:textId="77777777" w:rsidR="00EF63FD" w:rsidRDefault="00EF63FD">
            <w:pPr>
              <w:cnfStyle w:val="000000000000" w:firstRow="0" w:lastRow="0" w:firstColumn="0" w:lastColumn="0" w:oddVBand="0" w:evenVBand="0" w:oddHBand="0" w:evenHBand="0" w:firstRowFirstColumn="0" w:firstRowLastColumn="0" w:lastRowFirstColumn="0" w:lastRowLastColumn="0"/>
            </w:pPr>
            <w:r>
              <w:t>Language barriers, legal restrictions, trauma, limited access to services.</w:t>
            </w:r>
          </w:p>
        </w:tc>
      </w:tr>
      <w:tr w:rsidR="00EF63FD" w14:paraId="1D080E76" w14:textId="77777777" w:rsidTr="4A0FB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Merge/>
          </w:tcPr>
          <w:p w14:paraId="4E7838D0" w14:textId="2CDE89E8" w:rsidR="00EF63FD" w:rsidRDefault="00EF63FD"/>
        </w:tc>
        <w:tc>
          <w:tcPr>
            <w:tcW w:w="2835" w:type="dxa"/>
          </w:tcPr>
          <w:p w14:paraId="7528627E" w14:textId="77777777" w:rsidR="00EF63FD" w:rsidRDefault="00EF63FD">
            <w:pPr>
              <w:cnfStyle w:val="000000100000" w:firstRow="0" w:lastRow="0" w:firstColumn="0" w:lastColumn="0" w:oddVBand="0" w:evenVBand="0" w:oddHBand="1" w:evenHBand="0" w:firstRowFirstColumn="0" w:firstRowLastColumn="0" w:lastRowFirstColumn="0" w:lastRowLastColumn="0"/>
            </w:pPr>
            <w:r>
              <w:t>Severe mental illness</w:t>
            </w:r>
          </w:p>
        </w:tc>
        <w:tc>
          <w:tcPr>
            <w:tcW w:w="3969" w:type="dxa"/>
          </w:tcPr>
          <w:p w14:paraId="14C28840" w14:textId="77777777" w:rsidR="00EF63FD" w:rsidRDefault="00EF63FD">
            <w:pPr>
              <w:cnfStyle w:val="000000100000" w:firstRow="0" w:lastRow="0" w:firstColumn="0" w:lastColumn="0" w:oddVBand="0" w:evenVBand="0" w:oddHBand="1" w:evenHBand="0" w:firstRowFirstColumn="0" w:firstRowLastColumn="0" w:lastRowFirstColumn="0" w:lastRowLastColumn="0"/>
            </w:pPr>
            <w:r>
              <w:t>Discrimination, unemployment, poor housing, under-treatment of physical health.</w:t>
            </w:r>
          </w:p>
          <w:p w14:paraId="2957814C" w14:textId="7E06303D" w:rsidR="00CA465B" w:rsidRDefault="00CA465B">
            <w:pPr>
              <w:cnfStyle w:val="000000100000" w:firstRow="0" w:lastRow="0" w:firstColumn="0" w:lastColumn="0" w:oddVBand="0" w:evenVBand="0" w:oddHBand="1" w:evenHBand="0" w:firstRowFirstColumn="0" w:firstRowLastColumn="0" w:lastRowFirstColumn="0" w:lastRowLastColumn="0"/>
            </w:pPr>
          </w:p>
        </w:tc>
      </w:tr>
      <w:tr w:rsidR="00710AC1" w14:paraId="4199D9C1" w14:textId="77777777" w:rsidTr="4A0FBECE">
        <w:tc>
          <w:tcPr>
            <w:cnfStyle w:val="001000000000" w:firstRow="0" w:lastRow="0" w:firstColumn="1" w:lastColumn="0" w:oddVBand="0" w:evenVBand="0" w:oddHBand="0" w:evenHBand="0" w:firstRowFirstColumn="0" w:firstRowLastColumn="0" w:lastRowFirstColumn="0" w:lastRowLastColumn="0"/>
            <w:tcW w:w="2972" w:type="dxa"/>
            <w:vMerge w:val="restart"/>
          </w:tcPr>
          <w:p w14:paraId="44F24BF1" w14:textId="77777777" w:rsidR="00EF63FD" w:rsidRDefault="00EF63FD">
            <w:r>
              <w:t>Geography</w:t>
            </w:r>
          </w:p>
          <w:p w14:paraId="591F9424" w14:textId="43D30B8D" w:rsidR="00EF63FD" w:rsidRDefault="00EF63FD"/>
        </w:tc>
        <w:tc>
          <w:tcPr>
            <w:tcW w:w="2835" w:type="dxa"/>
          </w:tcPr>
          <w:p w14:paraId="2B8309AA" w14:textId="77777777" w:rsidR="00EF63FD" w:rsidRDefault="00EF63FD">
            <w:pPr>
              <w:cnfStyle w:val="000000000000" w:firstRow="0" w:lastRow="0" w:firstColumn="0" w:lastColumn="0" w:oddVBand="0" w:evenVBand="0" w:oddHBand="0" w:evenHBand="0" w:firstRowFirstColumn="0" w:firstRowLastColumn="0" w:lastRowFirstColumn="0" w:lastRowLastColumn="0"/>
            </w:pPr>
            <w:r>
              <w:t>Rural populations</w:t>
            </w:r>
          </w:p>
        </w:tc>
        <w:tc>
          <w:tcPr>
            <w:tcW w:w="3969" w:type="dxa"/>
          </w:tcPr>
          <w:p w14:paraId="5D167767" w14:textId="33FF96A0" w:rsidR="00EF63FD" w:rsidRDefault="00EF63FD">
            <w:pPr>
              <w:cnfStyle w:val="000000000000" w:firstRow="0" w:lastRow="0" w:firstColumn="0" w:lastColumn="0" w:oddVBand="0" w:evenVBand="0" w:oddHBand="0" w:evenHBand="0" w:firstRowFirstColumn="0" w:firstRowLastColumn="0" w:lastRowFirstColumn="0" w:lastRowLastColumn="0"/>
            </w:pPr>
            <w:r>
              <w:t>Transport poverty, limited</w:t>
            </w:r>
            <w:r w:rsidR="6863C598">
              <w:t>-</w:t>
            </w:r>
            <w:r>
              <w:t>service access, digital exclusion, social isolation</w:t>
            </w:r>
            <w:r w:rsidR="0C6F1D1A">
              <w:t>, older less efficient housing stock</w:t>
            </w:r>
            <w:r w:rsidR="5C37B0ED">
              <w:t xml:space="preserve"> and pockets of nested rural deprivation</w:t>
            </w:r>
            <w:r>
              <w:t>.</w:t>
            </w:r>
          </w:p>
        </w:tc>
      </w:tr>
      <w:tr w:rsidR="00EF63FD" w14:paraId="6B5FCF18" w14:textId="77777777" w:rsidTr="4A0FB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Merge/>
          </w:tcPr>
          <w:p w14:paraId="1E891471" w14:textId="1B278439" w:rsidR="00EF63FD" w:rsidRDefault="00EF63FD"/>
        </w:tc>
        <w:tc>
          <w:tcPr>
            <w:tcW w:w="2835" w:type="dxa"/>
          </w:tcPr>
          <w:p w14:paraId="0BE1F4C4" w14:textId="77777777" w:rsidR="00EF63FD" w:rsidRDefault="00EF63FD">
            <w:pPr>
              <w:cnfStyle w:val="000000100000" w:firstRow="0" w:lastRow="0" w:firstColumn="0" w:lastColumn="0" w:oddVBand="0" w:evenVBand="0" w:oddHBand="1" w:evenHBand="0" w:firstRowFirstColumn="0" w:firstRowLastColumn="0" w:lastRowFirstColumn="0" w:lastRowLastColumn="0"/>
            </w:pPr>
            <w:r>
              <w:t>Urban populations</w:t>
            </w:r>
          </w:p>
        </w:tc>
        <w:tc>
          <w:tcPr>
            <w:tcW w:w="3969" w:type="dxa"/>
          </w:tcPr>
          <w:p w14:paraId="7677C224" w14:textId="77777777" w:rsidR="00EF63FD" w:rsidRDefault="00EF63FD">
            <w:pPr>
              <w:cnfStyle w:val="000000100000" w:firstRow="0" w:lastRow="0" w:firstColumn="0" w:lastColumn="0" w:oddVBand="0" w:evenVBand="0" w:oddHBand="1" w:evenHBand="0" w:firstRowFirstColumn="0" w:firstRowLastColumn="0" w:lastRowFirstColumn="0" w:lastRowLastColumn="0"/>
            </w:pPr>
            <w:r>
              <w:t>Overcrowding, pollution, crime exposure, housing affordability issues.</w:t>
            </w:r>
          </w:p>
        </w:tc>
      </w:tr>
      <w:tr w:rsidR="00710AC1" w14:paraId="3C49A722" w14:textId="77777777" w:rsidTr="4A0FBECE">
        <w:tc>
          <w:tcPr>
            <w:cnfStyle w:val="001000000000" w:firstRow="0" w:lastRow="0" w:firstColumn="1" w:lastColumn="0" w:oddVBand="0" w:evenVBand="0" w:oddHBand="0" w:evenHBand="0" w:firstRowFirstColumn="0" w:firstRowLastColumn="0" w:lastRowFirstColumn="0" w:lastRowLastColumn="0"/>
            <w:tcW w:w="2972" w:type="dxa"/>
            <w:vMerge/>
          </w:tcPr>
          <w:p w14:paraId="5598BAD6" w14:textId="6D4B0280" w:rsidR="00EF63FD" w:rsidRDefault="00EF63FD"/>
        </w:tc>
        <w:tc>
          <w:tcPr>
            <w:tcW w:w="2835" w:type="dxa"/>
          </w:tcPr>
          <w:p w14:paraId="5F448BF7" w14:textId="77777777" w:rsidR="00EF63FD" w:rsidRDefault="00EF63FD">
            <w:pPr>
              <w:cnfStyle w:val="000000000000" w:firstRow="0" w:lastRow="0" w:firstColumn="0" w:lastColumn="0" w:oddVBand="0" w:evenVBand="0" w:oddHBand="0" w:evenHBand="0" w:firstRowFirstColumn="0" w:firstRowLastColumn="0" w:lastRowFirstColumn="0" w:lastRowLastColumn="0"/>
            </w:pPr>
            <w:r>
              <w:t>Coastal communities</w:t>
            </w:r>
          </w:p>
        </w:tc>
        <w:tc>
          <w:tcPr>
            <w:tcW w:w="3969" w:type="dxa"/>
          </w:tcPr>
          <w:p w14:paraId="63BA75F8" w14:textId="77777777" w:rsidR="00EF63FD" w:rsidRDefault="00EF63FD">
            <w:pPr>
              <w:cnfStyle w:val="000000000000" w:firstRow="0" w:lastRow="0" w:firstColumn="0" w:lastColumn="0" w:oddVBand="0" w:evenVBand="0" w:oddHBand="0" w:evenHBand="0" w:firstRowFirstColumn="0" w:firstRowLastColumn="0" w:lastRowFirstColumn="0" w:lastRowLastColumn="0"/>
            </w:pPr>
            <w:r>
              <w:t>Economic decline, seasonal employment, poor transport links, service gaps.</w:t>
            </w:r>
          </w:p>
        </w:tc>
      </w:tr>
      <w:tr w:rsidR="00EF63FD" w14:paraId="6CF7F1BF" w14:textId="77777777" w:rsidTr="4A0FB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Merge/>
          </w:tcPr>
          <w:p w14:paraId="2BAB3E71" w14:textId="29472217" w:rsidR="00EF63FD" w:rsidRDefault="00EF63FD"/>
        </w:tc>
        <w:tc>
          <w:tcPr>
            <w:tcW w:w="2835" w:type="dxa"/>
          </w:tcPr>
          <w:p w14:paraId="63874F31" w14:textId="77777777" w:rsidR="00EF63FD" w:rsidRDefault="00EF63FD">
            <w:pPr>
              <w:cnfStyle w:val="000000100000" w:firstRow="0" w:lastRow="0" w:firstColumn="0" w:lastColumn="0" w:oddVBand="0" w:evenVBand="0" w:oddHBand="1" w:evenHBand="0" w:firstRowFirstColumn="0" w:firstRowLastColumn="0" w:lastRowFirstColumn="0" w:lastRowLastColumn="0"/>
            </w:pPr>
            <w:r>
              <w:t>Low social connectedness areas</w:t>
            </w:r>
          </w:p>
        </w:tc>
        <w:tc>
          <w:tcPr>
            <w:tcW w:w="3969" w:type="dxa"/>
          </w:tcPr>
          <w:p w14:paraId="58F5E8FC" w14:textId="77777777" w:rsidR="00EF63FD" w:rsidRDefault="00EF63FD">
            <w:pPr>
              <w:cnfStyle w:val="000000100000" w:firstRow="0" w:lastRow="0" w:firstColumn="0" w:lastColumn="0" w:oddVBand="0" w:evenVBand="0" w:oddHBand="1" w:evenHBand="0" w:firstRowFirstColumn="0" w:firstRowLastColumn="0" w:lastRowFirstColumn="0" w:lastRowLastColumn="0"/>
            </w:pPr>
            <w:r>
              <w:t>Isolation, reduced resilience, weaker community support networks.</w:t>
            </w:r>
          </w:p>
        </w:tc>
      </w:tr>
      <w:tr w:rsidR="00710AC1" w14:paraId="02D06B47" w14:textId="77777777" w:rsidTr="4A0FBECE">
        <w:tc>
          <w:tcPr>
            <w:cnfStyle w:val="001000000000" w:firstRow="0" w:lastRow="0" w:firstColumn="1" w:lastColumn="0" w:oddVBand="0" w:evenVBand="0" w:oddHBand="0" w:evenHBand="0" w:firstRowFirstColumn="0" w:firstRowLastColumn="0" w:lastRowFirstColumn="0" w:lastRowLastColumn="0"/>
            <w:tcW w:w="2972" w:type="dxa"/>
            <w:vMerge/>
          </w:tcPr>
          <w:p w14:paraId="7F02234B" w14:textId="7235357A" w:rsidR="00EF63FD" w:rsidRDefault="00EF63FD"/>
        </w:tc>
        <w:tc>
          <w:tcPr>
            <w:tcW w:w="2835" w:type="dxa"/>
          </w:tcPr>
          <w:p w14:paraId="1010FEA4" w14:textId="77777777" w:rsidR="00EF63FD" w:rsidRDefault="00EF63FD">
            <w:pPr>
              <w:cnfStyle w:val="000000000000" w:firstRow="0" w:lastRow="0" w:firstColumn="0" w:lastColumn="0" w:oddVBand="0" w:evenVBand="0" w:oddHBand="0" w:evenHBand="0" w:firstRowFirstColumn="0" w:firstRowLastColumn="0" w:lastRowFirstColumn="0" w:lastRowLastColumn="0"/>
            </w:pPr>
            <w:r>
              <w:t>Poor built/natural environments</w:t>
            </w:r>
          </w:p>
        </w:tc>
        <w:tc>
          <w:tcPr>
            <w:tcW w:w="3969" w:type="dxa"/>
          </w:tcPr>
          <w:p w14:paraId="77059FEF" w14:textId="77777777" w:rsidR="00EF63FD" w:rsidRDefault="00EF63FD">
            <w:pPr>
              <w:cnfStyle w:val="000000000000" w:firstRow="0" w:lastRow="0" w:firstColumn="0" w:lastColumn="0" w:oddVBand="0" w:evenVBand="0" w:oddHBand="0" w:evenHBand="0" w:firstRowFirstColumn="0" w:firstRowLastColumn="0" w:lastRowFirstColumn="0" w:lastRowLastColumn="0"/>
            </w:pPr>
            <w:r>
              <w:t>Environmental hazards, lack of green space, poor infrastructure.</w:t>
            </w:r>
          </w:p>
        </w:tc>
      </w:tr>
    </w:tbl>
    <w:p w14:paraId="282D301B" w14:textId="77777777" w:rsidR="005E1E6C" w:rsidRDefault="005E1E6C" w:rsidP="00FE3C10"/>
    <w:p w14:paraId="65AE803D" w14:textId="4C790708" w:rsidR="00D70F6F" w:rsidRDefault="00D70F6F" w:rsidP="002A4A53">
      <w:pPr>
        <w:rPr>
          <w:b/>
          <w:bCs/>
          <w:sz w:val="28"/>
          <w:szCs w:val="28"/>
        </w:rPr>
      </w:pPr>
    </w:p>
    <w:p w14:paraId="5E91AF48" w14:textId="4642C653" w:rsidR="00C96177" w:rsidRDefault="00C96177">
      <w:pPr>
        <w:rPr>
          <w:b/>
          <w:bCs/>
          <w:sz w:val="28"/>
          <w:szCs w:val="28"/>
        </w:rPr>
      </w:pPr>
      <w:r>
        <w:rPr>
          <w:b/>
          <w:bCs/>
          <w:sz w:val="28"/>
          <w:szCs w:val="28"/>
        </w:rPr>
        <w:t xml:space="preserve">Local Insights, Lived Experience and Research: </w:t>
      </w:r>
      <w:r w:rsidR="00010873">
        <w:rPr>
          <w:b/>
          <w:bCs/>
          <w:sz w:val="28"/>
          <w:szCs w:val="28"/>
        </w:rPr>
        <w:t>Dimensions of Inequality</w:t>
      </w:r>
    </w:p>
    <w:p w14:paraId="0AEE832C" w14:textId="77777777" w:rsidR="00BF3737" w:rsidRDefault="00BF3737">
      <w:pPr>
        <w:rPr>
          <w:sz w:val="28"/>
          <w:szCs w:val="28"/>
        </w:rPr>
      </w:pPr>
    </w:p>
    <w:p w14:paraId="6A349701" w14:textId="77777777" w:rsidR="00D0594C" w:rsidRPr="000A770F" w:rsidRDefault="00D0594C" w:rsidP="00D0594C">
      <w:pPr>
        <w:rPr>
          <w:rFonts w:cstheme="minorHAnsi"/>
          <w:b/>
          <w:bCs/>
          <w:sz w:val="28"/>
          <w:szCs w:val="28"/>
        </w:rPr>
      </w:pPr>
      <w:r w:rsidRPr="000A770F">
        <w:rPr>
          <w:rFonts w:ascii="Segoe UI Emoji" w:hAnsi="Segoe UI Emoji" w:cs="Segoe UI Emoji"/>
          <w:b/>
          <w:bCs/>
          <w:sz w:val="28"/>
          <w:szCs w:val="28"/>
        </w:rPr>
        <w:t>🧠</w:t>
      </w:r>
      <w:r w:rsidRPr="000A770F">
        <w:rPr>
          <w:rFonts w:cstheme="minorHAnsi"/>
          <w:b/>
          <w:bCs/>
          <w:sz w:val="28"/>
          <w:szCs w:val="28"/>
        </w:rPr>
        <w:t xml:space="preserve"> Protected Characteristics</w:t>
      </w:r>
    </w:p>
    <w:p w14:paraId="7E91F353" w14:textId="77777777" w:rsidR="00D0594C" w:rsidRPr="00D0594C" w:rsidRDefault="00D0594C" w:rsidP="00D0594C">
      <w:pPr>
        <w:rPr>
          <w:rFonts w:cstheme="minorHAnsi"/>
        </w:rPr>
      </w:pPr>
      <w:r w:rsidRPr="00D0594C">
        <w:rPr>
          <w:rFonts w:cstheme="minorHAnsi"/>
        </w:rPr>
        <w:t>Insight questions:</w:t>
      </w:r>
    </w:p>
    <w:p w14:paraId="4030C1EB" w14:textId="77777777" w:rsidR="00D0594C" w:rsidRPr="00D0594C" w:rsidRDefault="00D0594C" w:rsidP="00D0594C">
      <w:pPr>
        <w:rPr>
          <w:rFonts w:cstheme="minorHAnsi"/>
        </w:rPr>
      </w:pPr>
      <w:r w:rsidRPr="00D0594C">
        <w:rPr>
          <w:rFonts w:cstheme="minorHAnsi"/>
        </w:rPr>
        <w:t>• How do people with protected characteristics experience health inequalities?</w:t>
      </w:r>
    </w:p>
    <w:p w14:paraId="298C3D7F" w14:textId="77777777" w:rsidR="00D0594C" w:rsidRPr="00D0594C" w:rsidRDefault="00D0594C" w:rsidP="00D0594C">
      <w:pPr>
        <w:rPr>
          <w:rFonts w:cstheme="minorHAnsi"/>
        </w:rPr>
      </w:pPr>
      <w:r w:rsidRPr="00D0594C">
        <w:rPr>
          <w:rFonts w:cstheme="minorHAnsi"/>
        </w:rPr>
        <w:t>• What barriers do they face in accessing services and support?</w:t>
      </w:r>
    </w:p>
    <w:p w14:paraId="042004E9" w14:textId="4EC8F45C" w:rsidR="00D0594C" w:rsidRPr="00D0594C" w:rsidRDefault="00D0594C" w:rsidP="00854369">
      <w:pPr>
        <w:rPr>
          <w:rFonts w:cstheme="minorHAnsi"/>
        </w:rPr>
      </w:pPr>
      <w:r w:rsidRPr="000A770F">
        <w:rPr>
          <w:rFonts w:cstheme="minorHAnsi"/>
          <w:b/>
          <w:bCs/>
        </w:rPr>
        <w:t>Sources:</w:t>
      </w:r>
      <w:r w:rsidRPr="00D0594C">
        <w:rPr>
          <w:rFonts w:cstheme="minorHAnsi"/>
        </w:rPr>
        <w:t xml:space="preserve"> </w:t>
      </w:r>
      <w:hyperlink r:id="rId11" w:tgtFrame="_blank" w:history="1">
        <w:r w:rsidR="00854369" w:rsidRPr="00854369">
          <w:rPr>
            <w:rStyle w:val="Hyperlink"/>
            <w:rFonts w:cstheme="minorHAnsi"/>
          </w:rPr>
          <w:t>NHS Race and Health Observatory</w:t>
        </w:r>
      </w:hyperlink>
      <w:r w:rsidR="00854369">
        <w:rPr>
          <w:rFonts w:cstheme="minorHAnsi"/>
        </w:rPr>
        <w:t xml:space="preserve">, </w:t>
      </w:r>
      <w:hyperlink r:id="rId12" w:tgtFrame="_blank" w:history="1">
        <w:r w:rsidR="00854369" w:rsidRPr="00854369">
          <w:rPr>
            <w:rStyle w:val="Hyperlink"/>
            <w:rFonts w:cstheme="minorHAnsi"/>
          </w:rPr>
          <w:t>BMJ report on discrimination in primary care</w:t>
        </w:r>
      </w:hyperlink>
      <w:r w:rsidR="00854369">
        <w:rPr>
          <w:rFonts w:cstheme="minorHAnsi"/>
        </w:rPr>
        <w:t>,</w:t>
      </w:r>
      <w:r w:rsidR="00854369" w:rsidRPr="00854369">
        <w:rPr>
          <w:rFonts w:cstheme="minorHAnsi"/>
        </w:rPr>
        <w:t xml:space="preserve"> </w:t>
      </w:r>
      <w:hyperlink r:id="rId13" w:tgtFrame="_blank" w:history="1">
        <w:r w:rsidR="00854369" w:rsidRPr="00854369">
          <w:rPr>
            <w:rStyle w:val="Hyperlink"/>
            <w:rFonts w:cstheme="minorHAnsi"/>
          </w:rPr>
          <w:t>Devon Public Health Outreach</w:t>
        </w:r>
      </w:hyperlink>
    </w:p>
    <w:p w14:paraId="1FA17A9A" w14:textId="5F8AA39E" w:rsidR="005F23DD" w:rsidRDefault="00D0594C" w:rsidP="00083EB0">
      <w:pPr>
        <w:rPr>
          <w:rFonts w:cstheme="minorHAnsi"/>
        </w:rPr>
      </w:pPr>
      <w:r w:rsidRPr="000A770F">
        <w:rPr>
          <w:rFonts w:cstheme="minorHAnsi"/>
          <w:b/>
          <w:bCs/>
        </w:rPr>
        <w:t>Insight:</w:t>
      </w:r>
      <w:r w:rsidRPr="00D0594C">
        <w:rPr>
          <w:rFonts w:cstheme="minorHAnsi"/>
        </w:rPr>
        <w:t xml:space="preserve"> Ethnic minority communities report cultural insensitivity and language barriers in health services. </w:t>
      </w:r>
      <w:r w:rsidR="003A1919">
        <w:rPr>
          <w:rFonts w:cstheme="minorHAnsi"/>
        </w:rPr>
        <w:t>People with disabilities</w:t>
      </w:r>
      <w:r w:rsidRPr="00D0594C">
        <w:rPr>
          <w:rFonts w:cstheme="minorHAnsi"/>
        </w:rPr>
        <w:t xml:space="preserve"> face inaccessible environments and digital exclusion. Gendered inequalities are evident in mental health, caregiving roles, and later-life health outcomes. Lived experience highlights the need for inclusive, representative, and trauma-informed services.</w:t>
      </w:r>
    </w:p>
    <w:p w14:paraId="512C23ED" w14:textId="77777777" w:rsidR="00DD2F7F" w:rsidRDefault="00DD2F7F" w:rsidP="00D0594C">
      <w:pPr>
        <w:rPr>
          <w:rFonts w:cstheme="minorHAnsi"/>
        </w:rPr>
      </w:pPr>
    </w:p>
    <w:p w14:paraId="4781D7AE" w14:textId="77777777" w:rsidR="005F23DD" w:rsidRPr="000A770F" w:rsidRDefault="005F23DD" w:rsidP="005F23DD">
      <w:pPr>
        <w:rPr>
          <w:rFonts w:cstheme="minorHAnsi"/>
          <w:b/>
          <w:bCs/>
          <w:sz w:val="28"/>
          <w:szCs w:val="28"/>
        </w:rPr>
      </w:pPr>
      <w:r w:rsidRPr="000A770F">
        <w:rPr>
          <w:rFonts w:ascii="Segoe UI Emoji" w:hAnsi="Segoe UI Emoji" w:cs="Segoe UI Emoji"/>
          <w:b/>
          <w:bCs/>
          <w:sz w:val="28"/>
          <w:szCs w:val="28"/>
        </w:rPr>
        <w:t>💷</w:t>
      </w:r>
      <w:r w:rsidRPr="000A770F">
        <w:rPr>
          <w:rFonts w:cstheme="minorHAnsi"/>
          <w:b/>
          <w:bCs/>
          <w:sz w:val="28"/>
          <w:szCs w:val="28"/>
        </w:rPr>
        <w:t xml:space="preserve"> Socio-Economic Deprivation</w:t>
      </w:r>
    </w:p>
    <w:p w14:paraId="5B3C0607" w14:textId="77777777" w:rsidR="005F23DD" w:rsidRPr="000A770F" w:rsidRDefault="005F23DD" w:rsidP="005F23DD">
      <w:pPr>
        <w:rPr>
          <w:rFonts w:cstheme="minorHAnsi"/>
        </w:rPr>
      </w:pPr>
      <w:r w:rsidRPr="000A770F">
        <w:rPr>
          <w:rFonts w:cstheme="minorHAnsi"/>
        </w:rPr>
        <w:t>Insight questions:</w:t>
      </w:r>
    </w:p>
    <w:p w14:paraId="28C00FE3" w14:textId="77777777" w:rsidR="005F23DD" w:rsidRPr="000A770F" w:rsidRDefault="005F23DD" w:rsidP="005F23DD">
      <w:pPr>
        <w:rPr>
          <w:rFonts w:cstheme="minorHAnsi"/>
        </w:rPr>
      </w:pPr>
      <w:r w:rsidRPr="000A770F">
        <w:rPr>
          <w:rFonts w:cstheme="minorHAnsi"/>
        </w:rPr>
        <w:t>• How does poverty affect access to the building blocks of health?</w:t>
      </w:r>
    </w:p>
    <w:p w14:paraId="6B2E4D08" w14:textId="5DA28FE2" w:rsidR="005F23DD" w:rsidRPr="000A770F" w:rsidRDefault="005F23DD" w:rsidP="21DB88E7">
      <w:r>
        <w:t>• What are the lived experiences of people in deprived</w:t>
      </w:r>
      <w:r w:rsidR="6D1686F2">
        <w:t xml:space="preserve"> urban and rural </w:t>
      </w:r>
      <w:r>
        <w:t xml:space="preserve"> communities?</w:t>
      </w:r>
    </w:p>
    <w:p w14:paraId="6A4E1661" w14:textId="51D67B81" w:rsidR="005F23DD" w:rsidRPr="000A770F" w:rsidRDefault="005F23DD" w:rsidP="00636D29">
      <w:pPr>
        <w:rPr>
          <w:rFonts w:cstheme="minorHAnsi"/>
        </w:rPr>
      </w:pPr>
      <w:r w:rsidRPr="00F756A9">
        <w:rPr>
          <w:rFonts w:cstheme="minorHAnsi"/>
          <w:b/>
          <w:bCs/>
        </w:rPr>
        <w:t>Sources:</w:t>
      </w:r>
      <w:r w:rsidRPr="000A770F">
        <w:rPr>
          <w:rFonts w:cstheme="minorHAnsi"/>
        </w:rPr>
        <w:t xml:space="preserve"> </w:t>
      </w:r>
      <w:hyperlink r:id="rId14" w:tgtFrame="_blank" w:history="1">
        <w:r w:rsidR="00636D29" w:rsidRPr="00636D29">
          <w:rPr>
            <w:rStyle w:val="Hyperlink"/>
            <w:rFonts w:cstheme="minorHAnsi"/>
          </w:rPr>
          <w:t>Devon JSNA Overview</w:t>
        </w:r>
      </w:hyperlink>
      <w:r w:rsidR="00636D29">
        <w:rPr>
          <w:rFonts w:cstheme="minorHAnsi"/>
        </w:rPr>
        <w:t xml:space="preserve">, </w:t>
      </w:r>
      <w:hyperlink r:id="rId15" w:tgtFrame="_blank" w:history="1">
        <w:r w:rsidR="00636D29" w:rsidRPr="00636D29">
          <w:rPr>
            <w:rStyle w:val="Hyperlink"/>
            <w:rFonts w:cstheme="minorHAnsi"/>
          </w:rPr>
          <w:t>Food Insecurity Report 2021–2022</w:t>
        </w:r>
      </w:hyperlink>
      <w:r w:rsidR="00636D29">
        <w:rPr>
          <w:rFonts w:cstheme="minorHAnsi"/>
        </w:rPr>
        <w:t xml:space="preserve">, </w:t>
      </w:r>
      <w:hyperlink r:id="rId16" w:tgtFrame="_blank" w:history="1">
        <w:r w:rsidR="00636D29" w:rsidRPr="00636D29">
          <w:rPr>
            <w:rStyle w:val="Hyperlink"/>
            <w:rFonts w:cstheme="minorHAnsi"/>
          </w:rPr>
          <w:t>Devon Food Partnership Hub</w:t>
        </w:r>
      </w:hyperlink>
    </w:p>
    <w:p w14:paraId="7D3B113F" w14:textId="50BD656C" w:rsidR="00DD2F7F" w:rsidRDefault="005F23DD" w:rsidP="005F23DD">
      <w:pPr>
        <w:rPr>
          <w:rFonts w:cstheme="minorHAnsi"/>
        </w:rPr>
      </w:pPr>
      <w:r w:rsidRPr="00F756A9">
        <w:rPr>
          <w:rFonts w:cstheme="minorHAnsi"/>
          <w:b/>
          <w:bCs/>
        </w:rPr>
        <w:t>Insight:</w:t>
      </w:r>
      <w:r w:rsidRPr="000A770F">
        <w:rPr>
          <w:rFonts w:cstheme="minorHAnsi"/>
        </w:rPr>
        <w:t xml:space="preserve"> People in low-income households report food and fuel insecurity, poor housing conditions, and limited access to transport and healthcare. Deprivation intersects with other inequalities, compounding disadvantage. Community feedback emphasises the importance of place-based support and addressing the cost of living crisis.</w:t>
      </w:r>
    </w:p>
    <w:p w14:paraId="1121C494" w14:textId="77777777" w:rsidR="00F70283" w:rsidRPr="005F23DD" w:rsidRDefault="00F70283" w:rsidP="005F23DD">
      <w:pPr>
        <w:rPr>
          <w:rFonts w:cstheme="minorHAnsi"/>
        </w:rPr>
      </w:pPr>
    </w:p>
    <w:p w14:paraId="4AB4AB5B" w14:textId="5DA04241" w:rsidR="00F24E83" w:rsidRPr="000A770F" w:rsidRDefault="00F24E83" w:rsidP="00F24E83">
      <w:pPr>
        <w:rPr>
          <w:rFonts w:cstheme="minorHAnsi"/>
          <w:b/>
          <w:bCs/>
          <w:sz w:val="28"/>
          <w:szCs w:val="28"/>
        </w:rPr>
      </w:pPr>
      <w:r w:rsidRPr="000A770F">
        <w:rPr>
          <w:rFonts w:ascii="Segoe UI Emoji" w:hAnsi="Segoe UI Emoji" w:cs="Segoe UI Emoji"/>
          <w:b/>
          <w:bCs/>
          <w:sz w:val="28"/>
          <w:szCs w:val="28"/>
        </w:rPr>
        <w:t>🧩</w:t>
      </w:r>
      <w:r w:rsidRPr="000A770F">
        <w:rPr>
          <w:rFonts w:cstheme="minorHAnsi"/>
          <w:b/>
          <w:bCs/>
          <w:sz w:val="28"/>
          <w:szCs w:val="28"/>
        </w:rPr>
        <w:t xml:space="preserve"> Inclusion Health and </w:t>
      </w:r>
      <w:r w:rsidR="000813D0">
        <w:rPr>
          <w:rFonts w:cstheme="minorHAnsi"/>
          <w:b/>
          <w:bCs/>
          <w:sz w:val="28"/>
          <w:szCs w:val="28"/>
        </w:rPr>
        <w:t>Priority Populations</w:t>
      </w:r>
    </w:p>
    <w:p w14:paraId="101E8F2A" w14:textId="77777777" w:rsidR="00F24E83" w:rsidRPr="00F24E83" w:rsidRDefault="00F24E83" w:rsidP="00F24E83">
      <w:pPr>
        <w:rPr>
          <w:rFonts w:cstheme="minorHAnsi"/>
        </w:rPr>
      </w:pPr>
      <w:r w:rsidRPr="00F24E83">
        <w:rPr>
          <w:rFonts w:cstheme="minorHAnsi"/>
        </w:rPr>
        <w:t>Insight questions:</w:t>
      </w:r>
    </w:p>
    <w:p w14:paraId="7F66EE35" w14:textId="77777777" w:rsidR="00F24E83" w:rsidRPr="00F24E83" w:rsidRDefault="00F24E83" w:rsidP="00F24E83">
      <w:pPr>
        <w:rPr>
          <w:rFonts w:cstheme="minorHAnsi"/>
        </w:rPr>
      </w:pPr>
      <w:r w:rsidRPr="00F24E83">
        <w:rPr>
          <w:rFonts w:cstheme="minorHAnsi"/>
        </w:rPr>
        <w:t>• What do socially excluded groups say about their health and wellbeing?</w:t>
      </w:r>
    </w:p>
    <w:p w14:paraId="2ACD710C" w14:textId="77777777" w:rsidR="00F24E83" w:rsidRPr="00F24E83" w:rsidRDefault="00F24E83" w:rsidP="00F24E83">
      <w:pPr>
        <w:rPr>
          <w:rFonts w:cstheme="minorHAnsi"/>
        </w:rPr>
      </w:pPr>
      <w:r w:rsidRPr="00F24E83">
        <w:rPr>
          <w:rFonts w:cstheme="minorHAnsi"/>
        </w:rPr>
        <w:t>• How do stigma and service fragmentation affect outcomes?</w:t>
      </w:r>
    </w:p>
    <w:p w14:paraId="2676B4B3" w14:textId="1ECE09FB" w:rsidR="00F24E83" w:rsidRPr="00F24E83" w:rsidRDefault="00F24E83" w:rsidP="00745966">
      <w:pPr>
        <w:rPr>
          <w:rFonts w:cstheme="minorHAnsi"/>
        </w:rPr>
      </w:pPr>
      <w:r w:rsidRPr="000A770F">
        <w:rPr>
          <w:rFonts w:cstheme="minorHAnsi"/>
          <w:b/>
          <w:bCs/>
        </w:rPr>
        <w:lastRenderedPageBreak/>
        <w:t>Sources:</w:t>
      </w:r>
      <w:r w:rsidRPr="00F24E83">
        <w:rPr>
          <w:rFonts w:cstheme="minorHAnsi"/>
        </w:rPr>
        <w:t xml:space="preserve"> </w:t>
      </w:r>
      <w:hyperlink r:id="rId17" w:tgtFrame="_blank" w:history="1">
        <w:r w:rsidR="00745966" w:rsidRPr="00745966">
          <w:rPr>
            <w:rStyle w:val="Hyperlink"/>
            <w:rFonts w:cstheme="minorHAnsi"/>
          </w:rPr>
          <w:t>Devon Communities Together</w:t>
        </w:r>
      </w:hyperlink>
      <w:r w:rsidR="00745966">
        <w:rPr>
          <w:rFonts w:cstheme="minorHAnsi"/>
        </w:rPr>
        <w:t>,</w:t>
      </w:r>
      <w:r w:rsidR="00745966" w:rsidRPr="00745966">
        <w:rPr>
          <w:rFonts w:cstheme="minorHAnsi"/>
        </w:rPr>
        <w:t xml:space="preserve"> </w:t>
      </w:r>
      <w:hyperlink r:id="rId18" w:tgtFrame="_blank" w:history="1">
        <w:r w:rsidR="00745966" w:rsidRPr="00745966">
          <w:rPr>
            <w:rStyle w:val="Hyperlink"/>
            <w:rFonts w:cstheme="minorHAnsi"/>
          </w:rPr>
          <w:t>Together Drug and Alcohol Services</w:t>
        </w:r>
      </w:hyperlink>
      <w:r w:rsidR="00745966">
        <w:rPr>
          <w:rFonts w:cstheme="minorHAnsi"/>
        </w:rPr>
        <w:t xml:space="preserve">, </w:t>
      </w:r>
      <w:hyperlink r:id="rId19" w:tgtFrame="_blank" w:history="1">
        <w:r w:rsidR="00745966" w:rsidRPr="00745966">
          <w:rPr>
            <w:rStyle w:val="Hyperlink"/>
            <w:rFonts w:cstheme="minorHAnsi"/>
          </w:rPr>
          <w:t>Devon JSNA Homelessness Chapter</w:t>
        </w:r>
      </w:hyperlink>
    </w:p>
    <w:p w14:paraId="33763B79" w14:textId="32FEFA9D" w:rsidR="00DD2F7F" w:rsidRDefault="00F24E83" w:rsidP="00F24E83">
      <w:pPr>
        <w:rPr>
          <w:rFonts w:cstheme="minorHAnsi"/>
        </w:rPr>
      </w:pPr>
      <w:r w:rsidRPr="000A770F">
        <w:rPr>
          <w:rFonts w:cstheme="minorHAnsi"/>
          <w:b/>
          <w:bCs/>
        </w:rPr>
        <w:t>Insight:</w:t>
      </w:r>
      <w:r w:rsidRPr="00F24E83">
        <w:rPr>
          <w:rFonts w:cstheme="minorHAnsi"/>
        </w:rPr>
        <w:t xml:space="preserve"> People experiencing homelessness, substance dependence, or involvement in the criminal justice system face extreme exclusion and poor health outcomes. Lived experience reveals mistrust in services, lack of continuity, and the need for flexible, trauma-informed care. Outreach work highlights the importance of relational approaches and co-designed interventions.</w:t>
      </w:r>
    </w:p>
    <w:p w14:paraId="61110DC5" w14:textId="04E1E9BC" w:rsidR="009734DB" w:rsidRDefault="009734DB" w:rsidP="00F24E83"/>
    <w:p w14:paraId="229BB265" w14:textId="77777777" w:rsidR="009734DB" w:rsidRPr="000A770F" w:rsidRDefault="009734DB" w:rsidP="009734DB">
      <w:pPr>
        <w:rPr>
          <w:rFonts w:cstheme="minorHAnsi"/>
          <w:b/>
          <w:bCs/>
          <w:sz w:val="28"/>
          <w:szCs w:val="28"/>
        </w:rPr>
      </w:pPr>
      <w:r w:rsidRPr="000A770F">
        <w:rPr>
          <w:rFonts w:ascii="Segoe UI Emoji" w:hAnsi="Segoe UI Emoji" w:cs="Segoe UI Emoji"/>
          <w:b/>
          <w:bCs/>
          <w:sz w:val="28"/>
          <w:szCs w:val="28"/>
        </w:rPr>
        <w:t>🌍</w:t>
      </w:r>
      <w:r w:rsidRPr="000A770F">
        <w:rPr>
          <w:rFonts w:cstheme="minorHAnsi"/>
          <w:b/>
          <w:bCs/>
          <w:sz w:val="28"/>
          <w:szCs w:val="28"/>
        </w:rPr>
        <w:t xml:space="preserve"> Geography</w:t>
      </w:r>
    </w:p>
    <w:p w14:paraId="4A179D2A" w14:textId="77777777" w:rsidR="009734DB" w:rsidRPr="009734DB" w:rsidRDefault="009734DB" w:rsidP="009734DB">
      <w:pPr>
        <w:rPr>
          <w:rFonts w:cstheme="minorHAnsi"/>
        </w:rPr>
      </w:pPr>
      <w:r w:rsidRPr="009734DB">
        <w:rPr>
          <w:rFonts w:cstheme="minorHAnsi"/>
        </w:rPr>
        <w:t>Insight questions:</w:t>
      </w:r>
    </w:p>
    <w:p w14:paraId="06F5313F" w14:textId="77777777" w:rsidR="009734DB" w:rsidRPr="009734DB" w:rsidRDefault="009734DB" w:rsidP="009734DB">
      <w:pPr>
        <w:rPr>
          <w:rFonts w:cstheme="minorHAnsi"/>
        </w:rPr>
      </w:pPr>
      <w:r w:rsidRPr="009734DB">
        <w:rPr>
          <w:rFonts w:cstheme="minorHAnsi"/>
        </w:rPr>
        <w:t>• How does where people live affect their health and access to services?</w:t>
      </w:r>
    </w:p>
    <w:p w14:paraId="076F0153" w14:textId="77777777" w:rsidR="009734DB" w:rsidRPr="009734DB" w:rsidRDefault="009734DB" w:rsidP="009734DB">
      <w:pPr>
        <w:rPr>
          <w:rFonts w:cstheme="minorHAnsi"/>
        </w:rPr>
      </w:pPr>
      <w:r w:rsidRPr="009734DB">
        <w:rPr>
          <w:rFonts w:cstheme="minorHAnsi"/>
        </w:rPr>
        <w:t>• What are the challenges in rural, urban, and coastal communities?</w:t>
      </w:r>
    </w:p>
    <w:p w14:paraId="489292E9" w14:textId="64ADFCB9" w:rsidR="009734DB" w:rsidRPr="009734DB" w:rsidRDefault="009734DB" w:rsidP="002D78E5">
      <w:pPr>
        <w:rPr>
          <w:rFonts w:cstheme="minorHAnsi"/>
        </w:rPr>
      </w:pPr>
      <w:r w:rsidRPr="000A770F">
        <w:rPr>
          <w:rFonts w:cstheme="minorHAnsi"/>
          <w:b/>
          <w:bCs/>
        </w:rPr>
        <w:t>Sources:</w:t>
      </w:r>
      <w:r w:rsidRPr="009734DB">
        <w:rPr>
          <w:rFonts w:cstheme="minorHAnsi"/>
        </w:rPr>
        <w:t xml:space="preserve"> </w:t>
      </w:r>
      <w:hyperlink r:id="rId20" w:tgtFrame="_blank" w:history="1">
        <w:r w:rsidR="002D78E5" w:rsidRPr="002D78E5">
          <w:rPr>
            <w:rStyle w:val="Hyperlink"/>
            <w:rFonts w:cstheme="minorHAnsi"/>
          </w:rPr>
          <w:t>Devon JSNA Rural Access</w:t>
        </w:r>
      </w:hyperlink>
      <w:r w:rsidR="002D78E5">
        <w:rPr>
          <w:rFonts w:cstheme="minorHAnsi"/>
        </w:rPr>
        <w:t xml:space="preserve">, </w:t>
      </w:r>
      <w:hyperlink r:id="rId21" w:tgtFrame="_blank" w:history="1">
        <w:r w:rsidR="002D78E5" w:rsidRPr="002D78E5">
          <w:rPr>
            <w:rStyle w:val="Hyperlink"/>
            <w:rFonts w:cstheme="minorHAnsi"/>
          </w:rPr>
          <w:t>Transport Poverty Index</w:t>
        </w:r>
      </w:hyperlink>
      <w:r w:rsidR="002D78E5">
        <w:rPr>
          <w:rFonts w:cstheme="minorHAnsi"/>
        </w:rPr>
        <w:t xml:space="preserve">, </w:t>
      </w:r>
      <w:hyperlink r:id="rId22" w:tgtFrame="_blank" w:history="1">
        <w:r w:rsidR="002D78E5" w:rsidRPr="002D78E5">
          <w:rPr>
            <w:rStyle w:val="Hyperlink"/>
            <w:rFonts w:cstheme="minorHAnsi"/>
          </w:rPr>
          <w:t>Devon County Council rural transport call</w:t>
        </w:r>
      </w:hyperlink>
    </w:p>
    <w:p w14:paraId="236576B2" w14:textId="0AB5BBDE" w:rsidR="00DD2F7F" w:rsidRDefault="009734DB" w:rsidP="21DB88E7">
      <w:r w:rsidRPr="4A0FBECE">
        <w:rPr>
          <w:b/>
          <w:bCs/>
        </w:rPr>
        <w:t>Insight:</w:t>
      </w:r>
      <w:r>
        <w:t xml:space="preserve"> Rural and coastal communities in Devon face transport poverty, digital exclusion, and limited</w:t>
      </w:r>
      <w:r w:rsidR="3FBA0451">
        <w:t>-</w:t>
      </w:r>
      <w:r>
        <w:t>service access. Older adults</w:t>
      </w:r>
      <w:r w:rsidR="47077B68">
        <w:t xml:space="preserve">, people with disabilities and young people </w:t>
      </w:r>
      <w:r>
        <w:t>are particularly affected. Geographic variation contributes to unequal outcomes, with some small areas showing life expectancy gaps of up to 15 years. Community insights call for localised, mobile, and digitally inclusive services.</w:t>
      </w:r>
    </w:p>
    <w:p w14:paraId="70AB404C" w14:textId="77777777" w:rsidR="009577E5" w:rsidRDefault="009577E5" w:rsidP="009577E5">
      <w:pPr>
        <w:rPr>
          <w:rFonts w:cstheme="minorHAnsi"/>
        </w:rPr>
      </w:pPr>
    </w:p>
    <w:p w14:paraId="291FC9A5" w14:textId="41BC6AAE" w:rsidR="00CF325B" w:rsidRDefault="009577E5" w:rsidP="4A0FBECE">
      <w:r>
        <w:rPr>
          <w:b/>
          <w:bCs/>
          <w:noProof/>
          <w:sz w:val="28"/>
          <w:szCs w:val="28"/>
        </w:rPr>
        <mc:AlternateContent>
          <mc:Choice Requires="wps">
            <w:drawing>
              <wp:anchor distT="0" distB="0" distL="114300" distR="114300" simplePos="0" relativeHeight="251658240" behindDoc="0" locked="0" layoutInCell="1" allowOverlap="1" wp14:anchorId="3FEB3DF1" wp14:editId="79B2314E">
                <wp:simplePos x="0" y="0"/>
                <wp:positionH relativeFrom="margin">
                  <wp:posOffset>-419100</wp:posOffset>
                </wp:positionH>
                <wp:positionV relativeFrom="paragraph">
                  <wp:posOffset>221614</wp:posOffset>
                </wp:positionV>
                <wp:extent cx="6563360" cy="3971925"/>
                <wp:effectExtent l="0" t="0" r="27940" b="28575"/>
                <wp:wrapNone/>
                <wp:docPr id="348187552" name="Rectangle 1"/>
                <wp:cNvGraphicFramePr/>
                <a:graphic xmlns:a="http://schemas.openxmlformats.org/drawingml/2006/main">
                  <a:graphicData uri="http://schemas.microsoft.com/office/word/2010/wordprocessingShape">
                    <wps:wsp>
                      <wps:cNvSpPr/>
                      <wps:spPr>
                        <a:xfrm>
                          <a:off x="0" y="0"/>
                          <a:ext cx="6563360" cy="3971925"/>
                        </a:xfrm>
                        <a:prstGeom prst="rect">
                          <a:avLst/>
                        </a:prstGeom>
                        <a:noFill/>
                        <a:ln>
                          <a:solidFill>
                            <a:srgbClr val="00A4A7"/>
                          </a:solidFill>
                        </a:ln>
                      </wps:spPr>
                      <wps:style>
                        <a:lnRef idx="2">
                          <a:schemeClr val="accent1">
                            <a:shade val="15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V relativeFrom="margin">
                  <wp14:pctHeight>0</wp14:pctHeight>
                </wp14:sizeRelV>
              </wp:anchor>
            </w:drawing>
          </mc:Choice>
          <mc:Fallback>
            <w:pict>
              <v:rect w14:anchorId="21E98B7F" id="Rectangle 1" o:spid="_x0000_s1026" style="position:absolute;margin-left:-33pt;margin-top:17.45pt;width:516.8pt;height:312.7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" filled="f" strokecolor="#00a4a7" strokeweight="1pt">
                <w10:wrap anchorx="margin"/>
              </v:rect>
            </w:pict>
          </mc:Fallback>
        </mc:AlternateContent>
      </w:r>
    </w:p>
    <w:p w14:paraId="66BB452A" w14:textId="77777777" w:rsidR="00907139" w:rsidRDefault="00907139" w:rsidP="00907139">
      <w:pPr>
        <w:rPr>
          <w:b/>
          <w:bCs/>
          <w:sz w:val="28"/>
          <w:szCs w:val="28"/>
        </w:rPr>
      </w:pPr>
      <w:r>
        <w:rPr>
          <w:b/>
          <w:bCs/>
          <w:sz w:val="28"/>
          <w:szCs w:val="28"/>
        </w:rPr>
        <w:t>Gaps in insights and local research</w:t>
      </w:r>
    </w:p>
    <w:p w14:paraId="35802C4C" w14:textId="77777777" w:rsidR="008B4C91" w:rsidRDefault="008B4C91" w:rsidP="008B4C91">
      <w:pPr>
        <w:rPr>
          <w:b/>
          <w:bCs/>
        </w:rPr>
      </w:pPr>
    </w:p>
    <w:p w14:paraId="20603189" w14:textId="4ACC4525" w:rsidR="008B4C91" w:rsidRDefault="008B4C91" w:rsidP="008B4C91">
      <w:r w:rsidRPr="000A770F">
        <w:rPr>
          <w:b/>
          <w:bCs/>
        </w:rPr>
        <w:t>Intersectionality and Compounding Disadvantage</w:t>
      </w:r>
      <w:r>
        <w:rPr>
          <w:b/>
          <w:bCs/>
        </w:rPr>
        <w:t xml:space="preserve">: </w:t>
      </w:r>
      <w:r>
        <w:t>Limited research on how multiple dimensions of inequality (e.g. ethnicity + disability + geography) interact to deepen disadvantage. Need for more nuanced, intersectional data analysis.</w:t>
      </w:r>
    </w:p>
    <w:p w14:paraId="6128B0B8" w14:textId="6754DAD7" w:rsidR="008B4C91" w:rsidRDefault="008B4C91" w:rsidP="008B4C91">
      <w:r w:rsidRPr="000A770F">
        <w:rPr>
          <w:b/>
          <w:bCs/>
        </w:rPr>
        <w:t>Lived Experience and Community Voice</w:t>
      </w:r>
      <w:r>
        <w:rPr>
          <w:b/>
          <w:bCs/>
        </w:rPr>
        <w:t xml:space="preserve">: </w:t>
      </w:r>
      <w:r>
        <w:t xml:space="preserve">Underrepresentation of lived experience across all groups, especially those with protected characteristics and </w:t>
      </w:r>
      <w:r w:rsidR="000813D0">
        <w:t>priority</w:t>
      </w:r>
      <w:r>
        <w:t xml:space="preserve"> populations. Lack of systematic approaches to capturing and integrating community insights into service design.</w:t>
      </w:r>
    </w:p>
    <w:p w14:paraId="28686495" w14:textId="378E0D68" w:rsidR="008B4C91" w:rsidRDefault="008B4C91" w:rsidP="008B4C91">
      <w:r w:rsidRPr="000A770F">
        <w:rPr>
          <w:b/>
          <w:bCs/>
        </w:rPr>
        <w:t>Granular and Localised Data</w:t>
      </w:r>
      <w:r>
        <w:rPr>
          <w:b/>
          <w:bCs/>
        </w:rPr>
        <w:t xml:space="preserve">: </w:t>
      </w:r>
      <w:r>
        <w:t>Insufficient small-area data on health outcomes, transport poverty, housing quality, and digital exclusion. Need for hyper-local mapping to identify and respond to inequalities more precisely.</w:t>
      </w:r>
    </w:p>
    <w:p w14:paraId="1C0586C3" w14:textId="6E167E4B" w:rsidR="008B4C91" w:rsidRDefault="008B4C91" w:rsidP="008B4C91">
      <w:r w:rsidRPr="000A770F">
        <w:rPr>
          <w:b/>
          <w:bCs/>
        </w:rPr>
        <w:t>Service Access and Continuity</w:t>
      </w:r>
      <w:r>
        <w:rPr>
          <w:b/>
          <w:bCs/>
        </w:rPr>
        <w:t xml:space="preserve">: </w:t>
      </w:r>
      <w:r>
        <w:t xml:space="preserve">Limited understanding of how fragmented services affect </w:t>
      </w:r>
      <w:r w:rsidR="000813D0">
        <w:t>priority</w:t>
      </w:r>
      <w:r w:rsidR="001B46F7">
        <w:t xml:space="preserve"> populations</w:t>
      </w:r>
      <w:r>
        <w:t>. Gaps in evidence around trust, engagement, and continuity of care for socially excluded populations.</w:t>
      </w:r>
    </w:p>
    <w:p w14:paraId="090100DC" w14:textId="0E5FE05E" w:rsidR="009577E5" w:rsidRDefault="008B4C91" w:rsidP="00972A3B">
      <w:r w:rsidRPr="000A770F">
        <w:rPr>
          <w:b/>
          <w:bCs/>
        </w:rPr>
        <w:t>Evaluation of Interventions</w:t>
      </w:r>
      <w:r>
        <w:rPr>
          <w:b/>
          <w:bCs/>
        </w:rPr>
        <w:t xml:space="preserve">: </w:t>
      </w:r>
      <w:r>
        <w:t>Few evaluations of co-designed, trauma-informed, or mobile service models. Lack of evidence on what works in rural, coastal, and digitally excluded communities.</w:t>
      </w:r>
    </w:p>
    <w:p w14:paraId="10125525" w14:textId="77777777" w:rsidR="009577E5" w:rsidRDefault="009577E5" w:rsidP="00972A3B"/>
    <w:p w14:paraId="79654A19" w14:textId="11F3ECA5" w:rsidR="003E7D20" w:rsidRDefault="00010873">
      <w:pPr>
        <w:rPr>
          <w:b/>
          <w:bCs/>
          <w:sz w:val="28"/>
          <w:szCs w:val="28"/>
        </w:rPr>
      </w:pPr>
      <w:r>
        <w:rPr>
          <w:b/>
          <w:bCs/>
          <w:sz w:val="28"/>
          <w:szCs w:val="28"/>
        </w:rPr>
        <w:lastRenderedPageBreak/>
        <w:t>Dimensions of Inequality</w:t>
      </w:r>
      <w:r w:rsidR="003E7D20" w:rsidRPr="00494219">
        <w:rPr>
          <w:b/>
          <w:bCs/>
          <w:sz w:val="28"/>
          <w:szCs w:val="28"/>
        </w:rPr>
        <w:t xml:space="preserve"> Priorities for Devon</w:t>
      </w:r>
    </w:p>
    <w:p w14:paraId="1050D5C6" w14:textId="77777777" w:rsidR="00925DC4" w:rsidRPr="000A770F" w:rsidRDefault="00925DC4" w:rsidP="00925DC4">
      <w:pPr>
        <w:rPr>
          <w:b/>
          <w:bCs/>
        </w:rPr>
      </w:pPr>
      <w:r w:rsidRPr="000A770F">
        <w:rPr>
          <w:b/>
          <w:bCs/>
        </w:rPr>
        <w:t>1. Strengthen Local Research Capacity</w:t>
      </w:r>
    </w:p>
    <w:p w14:paraId="2AE5EC5E" w14:textId="7930AC18" w:rsidR="00925DC4" w:rsidRDefault="00925DC4" w:rsidP="000A770F">
      <w:pPr>
        <w:pStyle w:val="ListParagraph"/>
        <w:numPr>
          <w:ilvl w:val="0"/>
          <w:numId w:val="18"/>
        </w:numPr>
      </w:pPr>
      <w:r>
        <w:t>Develop community-led research</w:t>
      </w:r>
      <w:r w:rsidR="00BC73AC">
        <w:t xml:space="preserve"> opportunities</w:t>
      </w:r>
      <w:r>
        <w:t xml:space="preserve"> to gather lived experience across all dimensions.</w:t>
      </w:r>
    </w:p>
    <w:p w14:paraId="51A9AEAF" w14:textId="26A15F9F" w:rsidR="00925DC4" w:rsidRDefault="0058531C" w:rsidP="000A770F">
      <w:pPr>
        <w:pStyle w:val="ListParagraph"/>
        <w:numPr>
          <w:ilvl w:val="0"/>
          <w:numId w:val="18"/>
        </w:numPr>
      </w:pPr>
      <w:r>
        <w:t>Undertake</w:t>
      </w:r>
      <w:r w:rsidR="00925DC4">
        <w:t xml:space="preserve"> intersectional data analysis to understand overlapping inequalities.</w:t>
      </w:r>
    </w:p>
    <w:p w14:paraId="7CB04394" w14:textId="77777777" w:rsidR="00925DC4" w:rsidRPr="000A770F" w:rsidRDefault="00925DC4" w:rsidP="00925DC4">
      <w:pPr>
        <w:rPr>
          <w:b/>
          <w:bCs/>
        </w:rPr>
      </w:pPr>
      <w:r w:rsidRPr="000A770F">
        <w:rPr>
          <w:b/>
          <w:bCs/>
        </w:rPr>
        <w:t>2. Improve Data Collection and Sharing</w:t>
      </w:r>
    </w:p>
    <w:p w14:paraId="34CDAC7B" w14:textId="77777777" w:rsidR="00925DC4" w:rsidRDefault="00925DC4" w:rsidP="000A770F">
      <w:pPr>
        <w:pStyle w:val="ListParagraph"/>
        <w:numPr>
          <w:ilvl w:val="0"/>
          <w:numId w:val="19"/>
        </w:numPr>
      </w:pPr>
      <w:r>
        <w:t>Update and expand datasets on food insecurity, housing conditions, and transport poverty.</w:t>
      </w:r>
    </w:p>
    <w:p w14:paraId="515EAC9F" w14:textId="77777777" w:rsidR="00925DC4" w:rsidRDefault="00925DC4" w:rsidP="000A770F">
      <w:pPr>
        <w:pStyle w:val="ListParagraph"/>
        <w:numPr>
          <w:ilvl w:val="0"/>
          <w:numId w:val="19"/>
        </w:numPr>
      </w:pPr>
      <w:r>
        <w:t>Use GIS mapping to visualise health inequalities at the neighbourhood level.</w:t>
      </w:r>
    </w:p>
    <w:p w14:paraId="3DC83F05" w14:textId="68A4097B" w:rsidR="002316C9" w:rsidRDefault="002316C9" w:rsidP="002316C9">
      <w:pPr>
        <w:rPr>
          <w:b/>
          <w:bCs/>
        </w:rPr>
      </w:pPr>
      <w:r w:rsidRPr="4A0FBECE">
        <w:rPr>
          <w:b/>
          <w:bCs/>
        </w:rPr>
        <w:t>3. Strengthen Intersectional Data Analysis</w:t>
      </w:r>
    </w:p>
    <w:p w14:paraId="57E8662A" w14:textId="34D6C89E" w:rsidR="00FC436D" w:rsidRPr="00FC436D" w:rsidRDefault="00FC436D" w:rsidP="00FC436D">
      <w:pPr>
        <w:pStyle w:val="ListParagraph"/>
        <w:numPr>
          <w:ilvl w:val="0"/>
          <w:numId w:val="23"/>
        </w:numPr>
        <w:rPr>
          <w:b/>
          <w:bCs/>
        </w:rPr>
      </w:pPr>
      <w:r>
        <w:t>Linking datasets across protected characteristics, socio-economic status and geography</w:t>
      </w:r>
    </w:p>
    <w:p w14:paraId="29A4895A" w14:textId="06513BB5" w:rsidR="00FC436D" w:rsidRPr="005D5B84" w:rsidRDefault="00FC436D" w:rsidP="00FC436D">
      <w:pPr>
        <w:pStyle w:val="ListParagraph"/>
        <w:numPr>
          <w:ilvl w:val="0"/>
          <w:numId w:val="23"/>
        </w:numPr>
        <w:rPr>
          <w:b/>
          <w:bCs/>
        </w:rPr>
      </w:pPr>
      <w:r>
        <w:t>Using models such as Multilevel Analysis of Individual Heterogeneity and Discriminatory Accuracy</w:t>
      </w:r>
      <w:r w:rsidR="005D5B84">
        <w:t xml:space="preserve"> (MAIHDA) to explore compounded disadvantage</w:t>
      </w:r>
    </w:p>
    <w:p w14:paraId="530DBBEF" w14:textId="056967DD" w:rsidR="005D5B84" w:rsidRPr="004E6F5F" w:rsidRDefault="00B2286B" w:rsidP="00FC436D">
      <w:pPr>
        <w:pStyle w:val="ListParagraph"/>
        <w:numPr>
          <w:ilvl w:val="0"/>
          <w:numId w:val="23"/>
        </w:numPr>
        <w:rPr>
          <w:b/>
          <w:bCs/>
        </w:rPr>
      </w:pPr>
      <w:r>
        <w:t>Embed intersectionality in dashboards, reporting and equity impact assessments</w:t>
      </w:r>
    </w:p>
    <w:p w14:paraId="5A2927E5" w14:textId="78076853" w:rsidR="110D7F7F" w:rsidRDefault="110D7F7F" w:rsidP="4A0FBECE">
      <w:pPr>
        <w:pStyle w:val="ListParagraph"/>
        <w:numPr>
          <w:ilvl w:val="0"/>
          <w:numId w:val="23"/>
        </w:numPr>
      </w:pPr>
      <w:r>
        <w:t>Develop intelligence to identify pockets of nested rural deprivation</w:t>
      </w:r>
    </w:p>
    <w:p w14:paraId="30F2832C" w14:textId="2A9C36D0" w:rsidR="00602E9D" w:rsidRDefault="002316C9" w:rsidP="00925DC4">
      <w:pPr>
        <w:rPr>
          <w:b/>
          <w:bCs/>
        </w:rPr>
      </w:pPr>
      <w:r>
        <w:rPr>
          <w:b/>
          <w:bCs/>
        </w:rPr>
        <w:t>4</w:t>
      </w:r>
      <w:r w:rsidR="00925DC4" w:rsidRPr="000A770F">
        <w:rPr>
          <w:b/>
          <w:bCs/>
        </w:rPr>
        <w:t xml:space="preserve">. </w:t>
      </w:r>
      <w:r w:rsidR="00034369">
        <w:rPr>
          <w:b/>
          <w:bCs/>
        </w:rPr>
        <w:t>Advance Inclusive Practice</w:t>
      </w:r>
    </w:p>
    <w:p w14:paraId="537E20DF" w14:textId="1E2CE67B" w:rsidR="005E0AC0" w:rsidRDefault="00594C11">
      <w:pPr>
        <w:pStyle w:val="ListParagraph"/>
        <w:numPr>
          <w:ilvl w:val="0"/>
          <w:numId w:val="25"/>
        </w:numPr>
      </w:pPr>
      <w:r>
        <w:t xml:space="preserve">Embed inclusive training and audits to tackle systemic bias, improve cultural competence, and ensure policies reflect the needs of priority populations </w:t>
      </w:r>
    </w:p>
    <w:p w14:paraId="379ACA74" w14:textId="72B80DF2" w:rsidR="0076112B" w:rsidRDefault="00D9612A" w:rsidP="00034369">
      <w:pPr>
        <w:pStyle w:val="ListParagraph"/>
        <w:numPr>
          <w:ilvl w:val="0"/>
          <w:numId w:val="25"/>
        </w:numPr>
      </w:pPr>
      <w:r>
        <w:t>Co-design services with underrepresented communities including trans, neurodivergent, and inclusion health populations, to create trauma informed, affirming and accessible pathways</w:t>
      </w:r>
    </w:p>
    <w:p w14:paraId="08732BBA" w14:textId="6083B224" w:rsidR="00602E9D" w:rsidRPr="002B7575" w:rsidRDefault="0061732B">
      <w:pPr>
        <w:pStyle w:val="ListParagraph"/>
        <w:numPr>
          <w:ilvl w:val="0"/>
          <w:numId w:val="25"/>
        </w:numPr>
        <w:rPr>
          <w:b/>
          <w:bCs/>
        </w:rPr>
      </w:pPr>
      <w:r>
        <w:t xml:space="preserve">Ensure accessibility across physical, digital, and transport infrastructure, and </w:t>
      </w:r>
      <w:r w:rsidR="00D5015D">
        <w:t xml:space="preserve">transport infrastructure, and use community-led evaluation to monitor and improve inclusive practice </w:t>
      </w:r>
      <w:r w:rsidR="002B7575">
        <w:t>system wide</w:t>
      </w:r>
    </w:p>
    <w:p w14:paraId="1CF7EC32" w14:textId="1FFCBDAF" w:rsidR="00C9084F" w:rsidRDefault="00602E9D" w:rsidP="00925DC4">
      <w:pPr>
        <w:rPr>
          <w:b/>
          <w:bCs/>
        </w:rPr>
      </w:pPr>
      <w:r>
        <w:rPr>
          <w:b/>
          <w:bCs/>
        </w:rPr>
        <w:t xml:space="preserve">5. </w:t>
      </w:r>
      <w:r w:rsidR="00C9084F">
        <w:rPr>
          <w:b/>
          <w:bCs/>
        </w:rPr>
        <w:t>Community Empowerment</w:t>
      </w:r>
    </w:p>
    <w:p w14:paraId="6314988E" w14:textId="3E840780" w:rsidR="00C9084F" w:rsidRDefault="00AE120F" w:rsidP="00C9084F">
      <w:pPr>
        <w:pStyle w:val="ListParagraph"/>
        <w:numPr>
          <w:ilvl w:val="0"/>
          <w:numId w:val="24"/>
        </w:numPr>
      </w:pPr>
      <w:r>
        <w:t>Embed a Community Engagement Framework outlining different participator methods</w:t>
      </w:r>
      <w:r w:rsidR="008A2D81">
        <w:t xml:space="preserve"> to ensure community voice comes through</w:t>
      </w:r>
    </w:p>
    <w:p w14:paraId="7EEC6055" w14:textId="12934896" w:rsidR="008A2D81" w:rsidRPr="00C9084F" w:rsidRDefault="008A2D81" w:rsidP="00C9084F">
      <w:pPr>
        <w:pStyle w:val="ListParagraph"/>
        <w:numPr>
          <w:ilvl w:val="0"/>
          <w:numId w:val="24"/>
        </w:numPr>
      </w:pPr>
      <w:r>
        <w:t>Highlight VCSE leadership in co-design and service delivery</w:t>
      </w:r>
    </w:p>
    <w:p w14:paraId="048FD4F8" w14:textId="7B6DB372" w:rsidR="00925DC4" w:rsidRPr="000A770F" w:rsidRDefault="00602E9D" w:rsidP="00925DC4">
      <w:pPr>
        <w:rPr>
          <w:b/>
          <w:bCs/>
        </w:rPr>
      </w:pPr>
      <w:r>
        <w:rPr>
          <w:b/>
          <w:bCs/>
        </w:rPr>
        <w:t>6</w:t>
      </w:r>
      <w:r w:rsidR="00C9084F">
        <w:rPr>
          <w:b/>
          <w:bCs/>
        </w:rPr>
        <w:t xml:space="preserve">. </w:t>
      </w:r>
      <w:r w:rsidR="00925DC4" w:rsidRPr="000A770F">
        <w:rPr>
          <w:b/>
          <w:bCs/>
        </w:rPr>
        <w:t>Embed Co-Design and Trauma-Informed Approaches</w:t>
      </w:r>
    </w:p>
    <w:p w14:paraId="51184B63" w14:textId="0CA44F1F" w:rsidR="00925DC4" w:rsidRDefault="00925DC4" w:rsidP="000A770F">
      <w:pPr>
        <w:pStyle w:val="ListParagraph"/>
        <w:numPr>
          <w:ilvl w:val="0"/>
          <w:numId w:val="20"/>
        </w:numPr>
      </w:pPr>
      <w:r>
        <w:t xml:space="preserve">Support VCSE partners to lead co-designed service pilots with </w:t>
      </w:r>
      <w:r w:rsidR="001B46F7">
        <w:t>priority populations</w:t>
      </w:r>
      <w:r>
        <w:t>.</w:t>
      </w:r>
    </w:p>
    <w:p w14:paraId="2C10EDE8" w14:textId="77777777" w:rsidR="00925DC4" w:rsidRDefault="00925DC4" w:rsidP="000A770F">
      <w:pPr>
        <w:pStyle w:val="ListParagraph"/>
        <w:numPr>
          <w:ilvl w:val="0"/>
          <w:numId w:val="20"/>
        </w:numPr>
      </w:pPr>
      <w:r>
        <w:t>Train public sector staff in trauma-informed practice and inclusive engagement.</w:t>
      </w:r>
    </w:p>
    <w:p w14:paraId="75D32BED" w14:textId="5F700B75" w:rsidR="00925DC4" w:rsidRPr="000A770F" w:rsidRDefault="00602E9D" w:rsidP="00925DC4">
      <w:pPr>
        <w:rPr>
          <w:b/>
          <w:bCs/>
        </w:rPr>
      </w:pPr>
      <w:r>
        <w:rPr>
          <w:b/>
          <w:bCs/>
        </w:rPr>
        <w:t>7</w:t>
      </w:r>
      <w:r w:rsidR="00925DC4" w:rsidRPr="000A770F">
        <w:rPr>
          <w:b/>
          <w:bCs/>
        </w:rPr>
        <w:t>. Enhance Service Accessibility</w:t>
      </w:r>
    </w:p>
    <w:p w14:paraId="2B720E73" w14:textId="77777777" w:rsidR="00925DC4" w:rsidRDefault="00925DC4" w:rsidP="000A770F">
      <w:pPr>
        <w:pStyle w:val="ListParagraph"/>
        <w:numPr>
          <w:ilvl w:val="0"/>
          <w:numId w:val="21"/>
        </w:numPr>
      </w:pPr>
      <w:r>
        <w:t>Expand mobile health and care services in rural and coastal areas.</w:t>
      </w:r>
    </w:p>
    <w:p w14:paraId="51A12ED6" w14:textId="77777777" w:rsidR="00925DC4" w:rsidRDefault="00925DC4" w:rsidP="000A770F">
      <w:pPr>
        <w:pStyle w:val="ListParagraph"/>
        <w:numPr>
          <w:ilvl w:val="0"/>
          <w:numId w:val="21"/>
        </w:numPr>
      </w:pPr>
      <w:r>
        <w:t>Invest in digitally inclusive infrastructure, including community hubs and digital literacy programmes.</w:t>
      </w:r>
    </w:p>
    <w:p w14:paraId="1BE158F1" w14:textId="3466D30F" w:rsidR="443F06AA" w:rsidRDefault="443F06AA" w:rsidP="4A0FBECE">
      <w:pPr>
        <w:pStyle w:val="ListParagraph"/>
        <w:numPr>
          <w:ilvl w:val="0"/>
          <w:numId w:val="21"/>
        </w:numPr>
      </w:pPr>
      <w:r>
        <w:t>Embed systemic rural proofing processes across services.</w:t>
      </w:r>
    </w:p>
    <w:p w14:paraId="11493B3B" w14:textId="45F5A042" w:rsidR="00925DC4" w:rsidRPr="000A770F" w:rsidRDefault="00034369" w:rsidP="00925DC4">
      <w:pPr>
        <w:rPr>
          <w:b/>
          <w:bCs/>
        </w:rPr>
      </w:pPr>
      <w:r>
        <w:rPr>
          <w:b/>
          <w:bCs/>
        </w:rPr>
        <w:t>8</w:t>
      </w:r>
      <w:r w:rsidR="00925DC4" w:rsidRPr="000A770F">
        <w:rPr>
          <w:b/>
          <w:bCs/>
        </w:rPr>
        <w:t>. Monitor and Evaluate Interventions</w:t>
      </w:r>
    </w:p>
    <w:p w14:paraId="54CBA2CA" w14:textId="4C211907" w:rsidR="001966E3" w:rsidRDefault="001966E3" w:rsidP="000A770F">
      <w:pPr>
        <w:pStyle w:val="ListParagraph"/>
        <w:numPr>
          <w:ilvl w:val="0"/>
          <w:numId w:val="22"/>
        </w:numPr>
      </w:pPr>
      <w:r>
        <w:t>Embed accountability mechanisms within governance structures across the system, ensuring that all organisations contribute to monitoring, learning and improvement</w:t>
      </w:r>
      <w:r w:rsidR="00F35F00">
        <w:t>.</w:t>
      </w:r>
    </w:p>
    <w:p w14:paraId="4D39A98E" w14:textId="40157A6A" w:rsidR="00925DC4" w:rsidRDefault="007228FB" w:rsidP="000A770F">
      <w:pPr>
        <w:pStyle w:val="ListParagraph"/>
        <w:numPr>
          <w:ilvl w:val="0"/>
          <w:numId w:val="22"/>
        </w:numPr>
      </w:pPr>
      <w:r>
        <w:lastRenderedPageBreak/>
        <w:t>Integrate inequality observatory functions into existing system-wide governance and intelligence structures</w:t>
      </w:r>
      <w:r w:rsidR="00C14FEB">
        <w:t>, ensuring shared ownership across public sector organisations, VCSE partners and community-led initiatives.</w:t>
      </w:r>
    </w:p>
    <w:p w14:paraId="40B6DAF5" w14:textId="382A9B41" w:rsidR="00925DC4" w:rsidRDefault="00925DC4" w:rsidP="000A770F">
      <w:pPr>
        <w:pStyle w:val="ListParagraph"/>
        <w:numPr>
          <w:ilvl w:val="0"/>
          <w:numId w:val="22"/>
        </w:numPr>
      </w:pPr>
      <w:r>
        <w:t>Use participatory evaluation methods to ensure community voices shape service improvements.</w:t>
      </w:r>
    </w:p>
    <w:p w14:paraId="42583721" w14:textId="77777777" w:rsidR="00925DC4" w:rsidRDefault="00925DC4" w:rsidP="00260A38"/>
    <w:p w14:paraId="77FBE4BA" w14:textId="38D87235" w:rsidR="005F4167" w:rsidRDefault="005F4167" w:rsidP="00260A38">
      <w:r>
        <w:t>For more information</w:t>
      </w:r>
      <w:r w:rsidR="1943709C">
        <w:t>,</w:t>
      </w:r>
      <w:r>
        <w:t xml:space="preserve"> please visit the following:</w:t>
      </w:r>
    </w:p>
    <w:p w14:paraId="0635EF92" w14:textId="77777777" w:rsidR="004811D6" w:rsidRPr="0002588E" w:rsidRDefault="004811D6" w:rsidP="004811D6">
      <w:pPr>
        <w:pStyle w:val="ListParagraph"/>
        <w:numPr>
          <w:ilvl w:val="0"/>
          <w:numId w:val="3"/>
        </w:numPr>
      </w:pPr>
      <w:hyperlink r:id="rId23" w:history="1">
        <w:r w:rsidRPr="0002588E">
          <w:rPr>
            <w:rStyle w:val="Hyperlink"/>
          </w:rPr>
          <w:t>(NEW) JSNA Headline Report - Devon Health and Wellbeing</w:t>
        </w:r>
      </w:hyperlink>
    </w:p>
    <w:p w14:paraId="5E345575" w14:textId="77777777" w:rsidR="004811D6" w:rsidRDefault="004811D6" w:rsidP="004811D6">
      <w:pPr>
        <w:pStyle w:val="ListParagraph"/>
        <w:numPr>
          <w:ilvl w:val="0"/>
          <w:numId w:val="3"/>
        </w:numPr>
      </w:pPr>
      <w:hyperlink r:id="rId24" w:history="1">
        <w:r w:rsidRPr="00494219">
          <w:rPr>
            <w:rStyle w:val="Hyperlink"/>
          </w:rPr>
          <w:t>Public Health Dashboards - Devon Health and Wellbeing</w:t>
        </w:r>
      </w:hyperlink>
    </w:p>
    <w:p w14:paraId="18BF43CC" w14:textId="77777777" w:rsidR="004811D6" w:rsidRDefault="004811D6" w:rsidP="004811D6">
      <w:pPr>
        <w:pStyle w:val="ListParagraph"/>
        <w:numPr>
          <w:ilvl w:val="0"/>
          <w:numId w:val="3"/>
        </w:numPr>
        <w:rPr>
          <w:rStyle w:val="Hyperlink"/>
        </w:rPr>
      </w:pPr>
      <w:hyperlink r:id="rId25">
        <w:r w:rsidRPr="1AE3E8C5">
          <w:rPr>
            <w:rStyle w:val="Hyperlink"/>
          </w:rPr>
          <w:t>Health and Wellbeing Library - Devon Health and Wellbeing</w:t>
        </w:r>
      </w:hyperlink>
    </w:p>
    <w:p w14:paraId="72A3EAD6" w14:textId="05DEDCCE" w:rsidR="1AE3E8C5" w:rsidRDefault="44C64802" w:rsidP="1AE3E8C5">
      <w:pPr>
        <w:pStyle w:val="ListParagraph"/>
        <w:numPr>
          <w:ilvl w:val="0"/>
          <w:numId w:val="3"/>
        </w:numPr>
      </w:pPr>
      <w:hyperlink r:id="rId26">
        <w:r w:rsidRPr="0535C515">
          <w:rPr>
            <w:rStyle w:val="Hyperlink"/>
          </w:rPr>
          <w:t>What trans and non-binary people told us about GP care | Healthwatch</w:t>
        </w:r>
      </w:hyperlink>
    </w:p>
    <w:p w14:paraId="4AED21C9" w14:textId="77777777" w:rsidR="004811D6" w:rsidRDefault="004811D6" w:rsidP="00260A38"/>
    <w:p w14:paraId="31F7AD40" w14:textId="6B024144" w:rsidR="00D75A06" w:rsidRDefault="00D75A06"/>
    <w:sectPr w:rsidR="00D75A06">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0C5CA" w14:textId="77777777" w:rsidR="001C00C0" w:rsidRDefault="001C00C0" w:rsidP="00615C75">
      <w:pPr>
        <w:spacing w:after="0" w:line="240" w:lineRule="auto"/>
      </w:pPr>
      <w:r>
        <w:separator/>
      </w:r>
    </w:p>
  </w:endnote>
  <w:endnote w:type="continuationSeparator" w:id="0">
    <w:p w14:paraId="7F6CD846" w14:textId="77777777" w:rsidR="001C00C0" w:rsidRDefault="001C00C0" w:rsidP="00615C75">
      <w:pPr>
        <w:spacing w:after="0" w:line="240" w:lineRule="auto"/>
      </w:pPr>
      <w:r>
        <w:continuationSeparator/>
      </w:r>
    </w:p>
  </w:endnote>
  <w:endnote w:type="continuationNotice" w:id="1">
    <w:p w14:paraId="7E6B6221" w14:textId="77777777" w:rsidR="001C00C0" w:rsidRDefault="001C00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1CF0" w14:textId="77777777" w:rsidR="00180767" w:rsidRDefault="00180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D06A" w14:textId="77777777" w:rsidR="00180767" w:rsidRDefault="001807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2B2E" w14:textId="77777777" w:rsidR="00180767" w:rsidRDefault="00180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C5AE5" w14:textId="77777777" w:rsidR="001C00C0" w:rsidRDefault="001C00C0" w:rsidP="00615C75">
      <w:pPr>
        <w:spacing w:after="0" w:line="240" w:lineRule="auto"/>
      </w:pPr>
      <w:r>
        <w:separator/>
      </w:r>
    </w:p>
  </w:footnote>
  <w:footnote w:type="continuationSeparator" w:id="0">
    <w:p w14:paraId="21996773" w14:textId="77777777" w:rsidR="001C00C0" w:rsidRDefault="001C00C0" w:rsidP="00615C75">
      <w:pPr>
        <w:spacing w:after="0" w:line="240" w:lineRule="auto"/>
      </w:pPr>
      <w:r>
        <w:continuationSeparator/>
      </w:r>
    </w:p>
  </w:footnote>
  <w:footnote w:type="continuationNotice" w:id="1">
    <w:p w14:paraId="66EB53C6" w14:textId="77777777" w:rsidR="001C00C0" w:rsidRDefault="001C00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490F" w14:textId="77777777" w:rsidR="00180767" w:rsidRDefault="00180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588FA" w14:textId="5CEFE714" w:rsidR="00615C75" w:rsidRDefault="00615C75">
    <w:pPr>
      <w:pStyle w:val="Header"/>
    </w:pPr>
    <w:r>
      <w:rPr>
        <w:noProof/>
        <w:lang w:eastAsia="en-GB"/>
      </w:rPr>
      <w:drawing>
        <wp:inline distT="0" distB="0" distL="0" distR="0" wp14:anchorId="2F271538" wp14:editId="297F94EE">
          <wp:extent cx="5731510" cy="476250"/>
          <wp:effectExtent l="0" t="0" r="2540" b="0"/>
          <wp:docPr id="21" name="Picture 21" descr="Public Health Devon Logo and Devon County Council (Letterhead Version)"/>
          <wp:cNvGraphicFramePr/>
          <a:graphic xmlns:a="http://schemas.openxmlformats.org/drawingml/2006/main">
            <a:graphicData uri="http://schemas.openxmlformats.org/drawingml/2006/picture">
              <pic:pic xmlns:pic="http://schemas.openxmlformats.org/drawingml/2006/picture">
                <pic:nvPicPr>
                  <pic:cNvPr id="21" name="Picture 21" descr="Public Health Devon Logo and Devon County Council (Letterhead Version)"/>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4762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51F9" w14:textId="77777777" w:rsidR="00180767" w:rsidRDefault="00180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0B43"/>
    <w:multiLevelType w:val="hybridMultilevel"/>
    <w:tmpl w:val="6A629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F1011"/>
    <w:multiLevelType w:val="hybridMultilevel"/>
    <w:tmpl w:val="05B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B739C"/>
    <w:multiLevelType w:val="hybridMultilevel"/>
    <w:tmpl w:val="7EE21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94CCD"/>
    <w:multiLevelType w:val="multilevel"/>
    <w:tmpl w:val="2590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A6A43"/>
    <w:multiLevelType w:val="hybridMultilevel"/>
    <w:tmpl w:val="9E7A4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FD3D15"/>
    <w:multiLevelType w:val="hybridMultilevel"/>
    <w:tmpl w:val="9FC83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2437F5"/>
    <w:multiLevelType w:val="hybridMultilevel"/>
    <w:tmpl w:val="8DF68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8038E9"/>
    <w:multiLevelType w:val="hybridMultilevel"/>
    <w:tmpl w:val="69848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974B26"/>
    <w:multiLevelType w:val="hybridMultilevel"/>
    <w:tmpl w:val="203CE5A2"/>
    <w:lvl w:ilvl="0" w:tplc="3FCA93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BE3B82"/>
    <w:multiLevelType w:val="hybridMultilevel"/>
    <w:tmpl w:val="374CC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6D083C"/>
    <w:multiLevelType w:val="hybridMultilevel"/>
    <w:tmpl w:val="54E64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670D54"/>
    <w:multiLevelType w:val="hybridMultilevel"/>
    <w:tmpl w:val="9DAC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AF76F7"/>
    <w:multiLevelType w:val="hybridMultilevel"/>
    <w:tmpl w:val="7ED091B2"/>
    <w:lvl w:ilvl="0" w:tplc="61F09E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4D7E1C"/>
    <w:multiLevelType w:val="multilevel"/>
    <w:tmpl w:val="BD1E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9570FA"/>
    <w:multiLevelType w:val="multilevel"/>
    <w:tmpl w:val="CDF4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EB644A"/>
    <w:multiLevelType w:val="hybridMultilevel"/>
    <w:tmpl w:val="96C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4644D8"/>
    <w:multiLevelType w:val="hybridMultilevel"/>
    <w:tmpl w:val="3DF40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4D1626"/>
    <w:multiLevelType w:val="multilevel"/>
    <w:tmpl w:val="CC78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CF2CF1"/>
    <w:multiLevelType w:val="hybridMultilevel"/>
    <w:tmpl w:val="9A842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084441"/>
    <w:multiLevelType w:val="multilevel"/>
    <w:tmpl w:val="48D6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7942B5"/>
    <w:multiLevelType w:val="hybridMultilevel"/>
    <w:tmpl w:val="A416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6453EB"/>
    <w:multiLevelType w:val="hybridMultilevel"/>
    <w:tmpl w:val="50D67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5C6CC7"/>
    <w:multiLevelType w:val="hybridMultilevel"/>
    <w:tmpl w:val="73341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8C756A"/>
    <w:multiLevelType w:val="hybridMultilevel"/>
    <w:tmpl w:val="7556D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DA72A2"/>
    <w:multiLevelType w:val="hybridMultilevel"/>
    <w:tmpl w:val="7466D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9133281">
    <w:abstractNumId w:val="8"/>
  </w:num>
  <w:num w:numId="2" w16cid:durableId="911815573">
    <w:abstractNumId w:val="19"/>
  </w:num>
  <w:num w:numId="3" w16cid:durableId="1448043354">
    <w:abstractNumId w:val="12"/>
  </w:num>
  <w:num w:numId="4" w16cid:durableId="517696866">
    <w:abstractNumId w:val="17"/>
  </w:num>
  <w:num w:numId="5" w16cid:durableId="1536771977">
    <w:abstractNumId w:val="13"/>
  </w:num>
  <w:num w:numId="6" w16cid:durableId="1709916195">
    <w:abstractNumId w:val="5"/>
  </w:num>
  <w:num w:numId="7" w16cid:durableId="236912704">
    <w:abstractNumId w:val="3"/>
  </w:num>
  <w:num w:numId="8" w16cid:durableId="993293233">
    <w:abstractNumId w:val="14"/>
  </w:num>
  <w:num w:numId="9" w16cid:durableId="179468149">
    <w:abstractNumId w:val="1"/>
  </w:num>
  <w:num w:numId="10" w16cid:durableId="735661597">
    <w:abstractNumId w:val="22"/>
  </w:num>
  <w:num w:numId="11" w16cid:durableId="406653847">
    <w:abstractNumId w:val="10"/>
  </w:num>
  <w:num w:numId="12" w16cid:durableId="1708334076">
    <w:abstractNumId w:val="15"/>
  </w:num>
  <w:num w:numId="13" w16cid:durableId="925070463">
    <w:abstractNumId w:val="21"/>
  </w:num>
  <w:num w:numId="14" w16cid:durableId="1260337378">
    <w:abstractNumId w:val="23"/>
  </w:num>
  <w:num w:numId="15" w16cid:durableId="1450540748">
    <w:abstractNumId w:val="6"/>
  </w:num>
  <w:num w:numId="16" w16cid:durableId="87167466">
    <w:abstractNumId w:val="24"/>
  </w:num>
  <w:num w:numId="17" w16cid:durableId="177695409">
    <w:abstractNumId w:val="18"/>
  </w:num>
  <w:num w:numId="18" w16cid:durableId="1342975236">
    <w:abstractNumId w:val="7"/>
  </w:num>
  <w:num w:numId="19" w16cid:durableId="2022468800">
    <w:abstractNumId w:val="11"/>
  </w:num>
  <w:num w:numId="20" w16cid:durableId="297801272">
    <w:abstractNumId w:val="2"/>
  </w:num>
  <w:num w:numId="21" w16cid:durableId="520513436">
    <w:abstractNumId w:val="0"/>
  </w:num>
  <w:num w:numId="22" w16cid:durableId="951087223">
    <w:abstractNumId w:val="16"/>
  </w:num>
  <w:num w:numId="23" w16cid:durableId="1548831793">
    <w:abstractNumId w:val="9"/>
  </w:num>
  <w:num w:numId="24" w16cid:durableId="1830249752">
    <w:abstractNumId w:val="4"/>
  </w:num>
  <w:num w:numId="25" w16cid:durableId="1958955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DD7"/>
    <w:rsid w:val="00001191"/>
    <w:rsid w:val="00002176"/>
    <w:rsid w:val="00002299"/>
    <w:rsid w:val="00005F38"/>
    <w:rsid w:val="00010873"/>
    <w:rsid w:val="0001754B"/>
    <w:rsid w:val="0002378F"/>
    <w:rsid w:val="00034369"/>
    <w:rsid w:val="00040708"/>
    <w:rsid w:val="00041B16"/>
    <w:rsid w:val="00045243"/>
    <w:rsid w:val="00046586"/>
    <w:rsid w:val="00047F43"/>
    <w:rsid w:val="000510D7"/>
    <w:rsid w:val="00051A9B"/>
    <w:rsid w:val="00067D9C"/>
    <w:rsid w:val="00074039"/>
    <w:rsid w:val="000758F9"/>
    <w:rsid w:val="00075DA2"/>
    <w:rsid w:val="000810FC"/>
    <w:rsid w:val="000813D0"/>
    <w:rsid w:val="00083EB0"/>
    <w:rsid w:val="00084336"/>
    <w:rsid w:val="00084E96"/>
    <w:rsid w:val="000A10AC"/>
    <w:rsid w:val="000A415A"/>
    <w:rsid w:val="000A770F"/>
    <w:rsid w:val="000B38B7"/>
    <w:rsid w:val="000B71D9"/>
    <w:rsid w:val="000C2B29"/>
    <w:rsid w:val="000D46D5"/>
    <w:rsid w:val="000D688C"/>
    <w:rsid w:val="000E3298"/>
    <w:rsid w:val="000F2F12"/>
    <w:rsid w:val="00102DA8"/>
    <w:rsid w:val="0010345E"/>
    <w:rsid w:val="00111621"/>
    <w:rsid w:val="00112DD7"/>
    <w:rsid w:val="001133C6"/>
    <w:rsid w:val="001163B1"/>
    <w:rsid w:val="00117C16"/>
    <w:rsid w:val="00120333"/>
    <w:rsid w:val="00124686"/>
    <w:rsid w:val="001253EE"/>
    <w:rsid w:val="001301A7"/>
    <w:rsid w:val="00146DB5"/>
    <w:rsid w:val="00151FE8"/>
    <w:rsid w:val="001615A0"/>
    <w:rsid w:val="00164836"/>
    <w:rsid w:val="00173BF9"/>
    <w:rsid w:val="00180767"/>
    <w:rsid w:val="00182086"/>
    <w:rsid w:val="00182774"/>
    <w:rsid w:val="00186A55"/>
    <w:rsid w:val="001947FF"/>
    <w:rsid w:val="00195C68"/>
    <w:rsid w:val="001966E3"/>
    <w:rsid w:val="00197423"/>
    <w:rsid w:val="001A13E2"/>
    <w:rsid w:val="001B46F7"/>
    <w:rsid w:val="001B5634"/>
    <w:rsid w:val="001C00C0"/>
    <w:rsid w:val="001C7C4E"/>
    <w:rsid w:val="001D258B"/>
    <w:rsid w:val="001D3F58"/>
    <w:rsid w:val="001F5040"/>
    <w:rsid w:val="001F67AF"/>
    <w:rsid w:val="001F725D"/>
    <w:rsid w:val="00224736"/>
    <w:rsid w:val="002316C9"/>
    <w:rsid w:val="0023699C"/>
    <w:rsid w:val="00240ED2"/>
    <w:rsid w:val="00240FB4"/>
    <w:rsid w:val="00242803"/>
    <w:rsid w:val="002434B6"/>
    <w:rsid w:val="00245E68"/>
    <w:rsid w:val="002537E5"/>
    <w:rsid w:val="00260A38"/>
    <w:rsid w:val="00266A31"/>
    <w:rsid w:val="002674FB"/>
    <w:rsid w:val="0027312E"/>
    <w:rsid w:val="00275529"/>
    <w:rsid w:val="00275CD6"/>
    <w:rsid w:val="00277D55"/>
    <w:rsid w:val="0028593B"/>
    <w:rsid w:val="00296B23"/>
    <w:rsid w:val="002A3576"/>
    <w:rsid w:val="002A4A53"/>
    <w:rsid w:val="002B7575"/>
    <w:rsid w:val="002C4366"/>
    <w:rsid w:val="002D1E5C"/>
    <w:rsid w:val="002D396A"/>
    <w:rsid w:val="002D746C"/>
    <w:rsid w:val="002D7818"/>
    <w:rsid w:val="002D78E5"/>
    <w:rsid w:val="002E1BB1"/>
    <w:rsid w:val="002E235E"/>
    <w:rsid w:val="002E26F2"/>
    <w:rsid w:val="002E2A74"/>
    <w:rsid w:val="002E38F2"/>
    <w:rsid w:val="002E5CC1"/>
    <w:rsid w:val="002E7F6F"/>
    <w:rsid w:val="002F1569"/>
    <w:rsid w:val="002F2C15"/>
    <w:rsid w:val="002F4E9A"/>
    <w:rsid w:val="002F5011"/>
    <w:rsid w:val="002F6B65"/>
    <w:rsid w:val="0033268E"/>
    <w:rsid w:val="00342805"/>
    <w:rsid w:val="00352802"/>
    <w:rsid w:val="003616FA"/>
    <w:rsid w:val="00364099"/>
    <w:rsid w:val="00367E16"/>
    <w:rsid w:val="00383E72"/>
    <w:rsid w:val="0039367C"/>
    <w:rsid w:val="00396043"/>
    <w:rsid w:val="003A1919"/>
    <w:rsid w:val="003B066E"/>
    <w:rsid w:val="003B5DCE"/>
    <w:rsid w:val="003C0AA0"/>
    <w:rsid w:val="003C7157"/>
    <w:rsid w:val="003D09BF"/>
    <w:rsid w:val="003D5846"/>
    <w:rsid w:val="003E262F"/>
    <w:rsid w:val="003E4D13"/>
    <w:rsid w:val="003E6612"/>
    <w:rsid w:val="003E7D20"/>
    <w:rsid w:val="003F0DB4"/>
    <w:rsid w:val="003F32D9"/>
    <w:rsid w:val="003F4AAC"/>
    <w:rsid w:val="003F5ABA"/>
    <w:rsid w:val="003F5DF5"/>
    <w:rsid w:val="0040024A"/>
    <w:rsid w:val="0040192A"/>
    <w:rsid w:val="004033E6"/>
    <w:rsid w:val="00416B52"/>
    <w:rsid w:val="00422222"/>
    <w:rsid w:val="00422B48"/>
    <w:rsid w:val="00425011"/>
    <w:rsid w:val="0043506F"/>
    <w:rsid w:val="00435B2C"/>
    <w:rsid w:val="00436AA2"/>
    <w:rsid w:val="00437F9E"/>
    <w:rsid w:val="00444686"/>
    <w:rsid w:val="0044476F"/>
    <w:rsid w:val="00462E28"/>
    <w:rsid w:val="00466847"/>
    <w:rsid w:val="004709FA"/>
    <w:rsid w:val="0047320D"/>
    <w:rsid w:val="004739C4"/>
    <w:rsid w:val="00474564"/>
    <w:rsid w:val="004811D6"/>
    <w:rsid w:val="00483A8B"/>
    <w:rsid w:val="004904F8"/>
    <w:rsid w:val="00494219"/>
    <w:rsid w:val="004A17C3"/>
    <w:rsid w:val="004A72D8"/>
    <w:rsid w:val="004B0D2F"/>
    <w:rsid w:val="004B1A86"/>
    <w:rsid w:val="004B4FDC"/>
    <w:rsid w:val="004B5691"/>
    <w:rsid w:val="004B5B0C"/>
    <w:rsid w:val="004B71AA"/>
    <w:rsid w:val="004C2C6D"/>
    <w:rsid w:val="004C4968"/>
    <w:rsid w:val="004D27B7"/>
    <w:rsid w:val="004D5345"/>
    <w:rsid w:val="004D6B42"/>
    <w:rsid w:val="004D79F4"/>
    <w:rsid w:val="004E6F5F"/>
    <w:rsid w:val="004F23DD"/>
    <w:rsid w:val="005018FF"/>
    <w:rsid w:val="005078D1"/>
    <w:rsid w:val="00531E6A"/>
    <w:rsid w:val="00533D24"/>
    <w:rsid w:val="00540E73"/>
    <w:rsid w:val="005442FB"/>
    <w:rsid w:val="00546327"/>
    <w:rsid w:val="00546434"/>
    <w:rsid w:val="0054721F"/>
    <w:rsid w:val="00556FBB"/>
    <w:rsid w:val="00572967"/>
    <w:rsid w:val="00576457"/>
    <w:rsid w:val="0057697C"/>
    <w:rsid w:val="0058246B"/>
    <w:rsid w:val="005831AC"/>
    <w:rsid w:val="0058531C"/>
    <w:rsid w:val="00585E79"/>
    <w:rsid w:val="0058611B"/>
    <w:rsid w:val="00592F44"/>
    <w:rsid w:val="00594C11"/>
    <w:rsid w:val="005A1891"/>
    <w:rsid w:val="005A199D"/>
    <w:rsid w:val="005A1E52"/>
    <w:rsid w:val="005A494D"/>
    <w:rsid w:val="005A7D78"/>
    <w:rsid w:val="005B1689"/>
    <w:rsid w:val="005B7311"/>
    <w:rsid w:val="005B760E"/>
    <w:rsid w:val="005C32F8"/>
    <w:rsid w:val="005C6D5E"/>
    <w:rsid w:val="005D28FB"/>
    <w:rsid w:val="005D5B84"/>
    <w:rsid w:val="005E0AC0"/>
    <w:rsid w:val="005E1E6C"/>
    <w:rsid w:val="005E7BF9"/>
    <w:rsid w:val="005F221A"/>
    <w:rsid w:val="005F23DD"/>
    <w:rsid w:val="005F4167"/>
    <w:rsid w:val="005F68E4"/>
    <w:rsid w:val="005F7737"/>
    <w:rsid w:val="00602E9D"/>
    <w:rsid w:val="006115F9"/>
    <w:rsid w:val="00611F20"/>
    <w:rsid w:val="00613E57"/>
    <w:rsid w:val="00615C75"/>
    <w:rsid w:val="0061732B"/>
    <w:rsid w:val="00622EEC"/>
    <w:rsid w:val="00627AEC"/>
    <w:rsid w:val="00633E77"/>
    <w:rsid w:val="00636D29"/>
    <w:rsid w:val="006411D2"/>
    <w:rsid w:val="00650C19"/>
    <w:rsid w:val="0065446B"/>
    <w:rsid w:val="0066233E"/>
    <w:rsid w:val="006653C4"/>
    <w:rsid w:val="006821E7"/>
    <w:rsid w:val="00686E58"/>
    <w:rsid w:val="006917CD"/>
    <w:rsid w:val="006A57D2"/>
    <w:rsid w:val="006A5994"/>
    <w:rsid w:val="006B197D"/>
    <w:rsid w:val="006B2298"/>
    <w:rsid w:val="006B27D2"/>
    <w:rsid w:val="006B51CA"/>
    <w:rsid w:val="006B5744"/>
    <w:rsid w:val="006B656B"/>
    <w:rsid w:val="006C4C69"/>
    <w:rsid w:val="006C70BC"/>
    <w:rsid w:val="006D4B7A"/>
    <w:rsid w:val="006E024A"/>
    <w:rsid w:val="006F2AAA"/>
    <w:rsid w:val="006F3AD5"/>
    <w:rsid w:val="00700C73"/>
    <w:rsid w:val="0070261C"/>
    <w:rsid w:val="00710AC1"/>
    <w:rsid w:val="00711D4B"/>
    <w:rsid w:val="007123C4"/>
    <w:rsid w:val="00713A3C"/>
    <w:rsid w:val="00714BDB"/>
    <w:rsid w:val="007228FB"/>
    <w:rsid w:val="00725697"/>
    <w:rsid w:val="00736A17"/>
    <w:rsid w:val="00745966"/>
    <w:rsid w:val="007523A3"/>
    <w:rsid w:val="0076112B"/>
    <w:rsid w:val="00772F0A"/>
    <w:rsid w:val="00783873"/>
    <w:rsid w:val="00790014"/>
    <w:rsid w:val="0079192A"/>
    <w:rsid w:val="007A71DD"/>
    <w:rsid w:val="007C7432"/>
    <w:rsid w:val="007D7DB6"/>
    <w:rsid w:val="007D7FA2"/>
    <w:rsid w:val="007E2358"/>
    <w:rsid w:val="007E40F7"/>
    <w:rsid w:val="007E4437"/>
    <w:rsid w:val="0080423D"/>
    <w:rsid w:val="008059D9"/>
    <w:rsid w:val="00807240"/>
    <w:rsid w:val="0081268E"/>
    <w:rsid w:val="00813204"/>
    <w:rsid w:val="008171AD"/>
    <w:rsid w:val="008205F2"/>
    <w:rsid w:val="0082393A"/>
    <w:rsid w:val="008243D4"/>
    <w:rsid w:val="008263C8"/>
    <w:rsid w:val="00833C4D"/>
    <w:rsid w:val="00835AA7"/>
    <w:rsid w:val="00854369"/>
    <w:rsid w:val="0087318B"/>
    <w:rsid w:val="00873C18"/>
    <w:rsid w:val="008828DD"/>
    <w:rsid w:val="00882D32"/>
    <w:rsid w:val="00883680"/>
    <w:rsid w:val="00887401"/>
    <w:rsid w:val="0089535E"/>
    <w:rsid w:val="00895475"/>
    <w:rsid w:val="008A2D81"/>
    <w:rsid w:val="008A64EA"/>
    <w:rsid w:val="008B4C91"/>
    <w:rsid w:val="008D54B0"/>
    <w:rsid w:val="008D6259"/>
    <w:rsid w:val="008E0FD6"/>
    <w:rsid w:val="008E2187"/>
    <w:rsid w:val="008F5BA5"/>
    <w:rsid w:val="00901FA8"/>
    <w:rsid w:val="0090684A"/>
    <w:rsid w:val="00907139"/>
    <w:rsid w:val="00917BFC"/>
    <w:rsid w:val="0092098B"/>
    <w:rsid w:val="00925DC4"/>
    <w:rsid w:val="0093171F"/>
    <w:rsid w:val="00936290"/>
    <w:rsid w:val="00936412"/>
    <w:rsid w:val="009420D9"/>
    <w:rsid w:val="00944DBC"/>
    <w:rsid w:val="0095173B"/>
    <w:rsid w:val="009544E2"/>
    <w:rsid w:val="009577E5"/>
    <w:rsid w:val="009630FF"/>
    <w:rsid w:val="00964456"/>
    <w:rsid w:val="009704AC"/>
    <w:rsid w:val="00972A3B"/>
    <w:rsid w:val="00973310"/>
    <w:rsid w:val="009734DB"/>
    <w:rsid w:val="0097493D"/>
    <w:rsid w:val="00983A00"/>
    <w:rsid w:val="00986DE2"/>
    <w:rsid w:val="00990408"/>
    <w:rsid w:val="00995D03"/>
    <w:rsid w:val="009A2EF6"/>
    <w:rsid w:val="009A6BEC"/>
    <w:rsid w:val="009B308E"/>
    <w:rsid w:val="009B68FB"/>
    <w:rsid w:val="009B747D"/>
    <w:rsid w:val="009C1061"/>
    <w:rsid w:val="009C1A3D"/>
    <w:rsid w:val="009C73E2"/>
    <w:rsid w:val="009C77E4"/>
    <w:rsid w:val="009D22D2"/>
    <w:rsid w:val="009E082F"/>
    <w:rsid w:val="009E1359"/>
    <w:rsid w:val="009F6AEE"/>
    <w:rsid w:val="00A04AEE"/>
    <w:rsid w:val="00A05F27"/>
    <w:rsid w:val="00A06C60"/>
    <w:rsid w:val="00A10281"/>
    <w:rsid w:val="00A22903"/>
    <w:rsid w:val="00A37B93"/>
    <w:rsid w:val="00A37E49"/>
    <w:rsid w:val="00A52549"/>
    <w:rsid w:val="00A60938"/>
    <w:rsid w:val="00A6283F"/>
    <w:rsid w:val="00A64555"/>
    <w:rsid w:val="00A67375"/>
    <w:rsid w:val="00A75A91"/>
    <w:rsid w:val="00A77924"/>
    <w:rsid w:val="00A800FA"/>
    <w:rsid w:val="00A911D2"/>
    <w:rsid w:val="00A927E4"/>
    <w:rsid w:val="00A9447D"/>
    <w:rsid w:val="00A96276"/>
    <w:rsid w:val="00A96EE1"/>
    <w:rsid w:val="00AA0913"/>
    <w:rsid w:val="00AA1B8E"/>
    <w:rsid w:val="00AA3F2F"/>
    <w:rsid w:val="00AA60D7"/>
    <w:rsid w:val="00AB1CC8"/>
    <w:rsid w:val="00AB3EB1"/>
    <w:rsid w:val="00AB6DE7"/>
    <w:rsid w:val="00AC06AB"/>
    <w:rsid w:val="00AC2FB2"/>
    <w:rsid w:val="00AD4C83"/>
    <w:rsid w:val="00AE0B59"/>
    <w:rsid w:val="00AE120F"/>
    <w:rsid w:val="00AE2C34"/>
    <w:rsid w:val="00AF0D9E"/>
    <w:rsid w:val="00AF468C"/>
    <w:rsid w:val="00B03B6A"/>
    <w:rsid w:val="00B04A1F"/>
    <w:rsid w:val="00B15DD7"/>
    <w:rsid w:val="00B204F7"/>
    <w:rsid w:val="00B2286B"/>
    <w:rsid w:val="00B34579"/>
    <w:rsid w:val="00B35200"/>
    <w:rsid w:val="00B42540"/>
    <w:rsid w:val="00B43E21"/>
    <w:rsid w:val="00B47D9C"/>
    <w:rsid w:val="00B504EB"/>
    <w:rsid w:val="00B562AF"/>
    <w:rsid w:val="00B62CBD"/>
    <w:rsid w:val="00B65EDA"/>
    <w:rsid w:val="00B67AD1"/>
    <w:rsid w:val="00B71D62"/>
    <w:rsid w:val="00B7277F"/>
    <w:rsid w:val="00B74EF0"/>
    <w:rsid w:val="00B830E5"/>
    <w:rsid w:val="00B86DA3"/>
    <w:rsid w:val="00B93DDB"/>
    <w:rsid w:val="00B9783B"/>
    <w:rsid w:val="00BA27FD"/>
    <w:rsid w:val="00BA51D6"/>
    <w:rsid w:val="00BA6895"/>
    <w:rsid w:val="00BA7231"/>
    <w:rsid w:val="00BB2D4B"/>
    <w:rsid w:val="00BB3990"/>
    <w:rsid w:val="00BB5076"/>
    <w:rsid w:val="00BB5637"/>
    <w:rsid w:val="00BB6AEC"/>
    <w:rsid w:val="00BC65B9"/>
    <w:rsid w:val="00BC6F67"/>
    <w:rsid w:val="00BC73AC"/>
    <w:rsid w:val="00BD1273"/>
    <w:rsid w:val="00BD2570"/>
    <w:rsid w:val="00BD532E"/>
    <w:rsid w:val="00BD742F"/>
    <w:rsid w:val="00BE0A91"/>
    <w:rsid w:val="00BE2C78"/>
    <w:rsid w:val="00BF01E6"/>
    <w:rsid w:val="00BF3737"/>
    <w:rsid w:val="00BF7F74"/>
    <w:rsid w:val="00C018F8"/>
    <w:rsid w:val="00C04621"/>
    <w:rsid w:val="00C053FC"/>
    <w:rsid w:val="00C07497"/>
    <w:rsid w:val="00C14FEB"/>
    <w:rsid w:val="00C16747"/>
    <w:rsid w:val="00C24FC5"/>
    <w:rsid w:val="00C26622"/>
    <w:rsid w:val="00C31C92"/>
    <w:rsid w:val="00C3608C"/>
    <w:rsid w:val="00C36C6C"/>
    <w:rsid w:val="00C40F58"/>
    <w:rsid w:val="00C56D76"/>
    <w:rsid w:val="00C63706"/>
    <w:rsid w:val="00C64216"/>
    <w:rsid w:val="00C64CC7"/>
    <w:rsid w:val="00C7061A"/>
    <w:rsid w:val="00C749B7"/>
    <w:rsid w:val="00C80CE5"/>
    <w:rsid w:val="00C81BEA"/>
    <w:rsid w:val="00C863A8"/>
    <w:rsid w:val="00C9084F"/>
    <w:rsid w:val="00C93A67"/>
    <w:rsid w:val="00C96177"/>
    <w:rsid w:val="00CA1659"/>
    <w:rsid w:val="00CA1CF9"/>
    <w:rsid w:val="00CA2049"/>
    <w:rsid w:val="00CA465B"/>
    <w:rsid w:val="00CA4D7E"/>
    <w:rsid w:val="00CA5F98"/>
    <w:rsid w:val="00CB2546"/>
    <w:rsid w:val="00CB6C60"/>
    <w:rsid w:val="00CC1D7B"/>
    <w:rsid w:val="00CC277A"/>
    <w:rsid w:val="00CD7417"/>
    <w:rsid w:val="00CE4763"/>
    <w:rsid w:val="00CE6286"/>
    <w:rsid w:val="00CF1EA6"/>
    <w:rsid w:val="00CF2AEF"/>
    <w:rsid w:val="00CF325B"/>
    <w:rsid w:val="00D0232A"/>
    <w:rsid w:val="00D044A4"/>
    <w:rsid w:val="00D053BF"/>
    <w:rsid w:val="00D0594C"/>
    <w:rsid w:val="00D065E4"/>
    <w:rsid w:val="00D15079"/>
    <w:rsid w:val="00D170FD"/>
    <w:rsid w:val="00D319CD"/>
    <w:rsid w:val="00D40E8A"/>
    <w:rsid w:val="00D419B8"/>
    <w:rsid w:val="00D5015D"/>
    <w:rsid w:val="00D524F7"/>
    <w:rsid w:val="00D61097"/>
    <w:rsid w:val="00D654D7"/>
    <w:rsid w:val="00D70F6F"/>
    <w:rsid w:val="00D72B06"/>
    <w:rsid w:val="00D75498"/>
    <w:rsid w:val="00D75A06"/>
    <w:rsid w:val="00D82A82"/>
    <w:rsid w:val="00D85EA8"/>
    <w:rsid w:val="00D86508"/>
    <w:rsid w:val="00D87FC0"/>
    <w:rsid w:val="00D93214"/>
    <w:rsid w:val="00D946A5"/>
    <w:rsid w:val="00D94C9E"/>
    <w:rsid w:val="00D9612A"/>
    <w:rsid w:val="00D9716E"/>
    <w:rsid w:val="00DA0B7D"/>
    <w:rsid w:val="00DA2501"/>
    <w:rsid w:val="00DA4B01"/>
    <w:rsid w:val="00DB2FEF"/>
    <w:rsid w:val="00DB441A"/>
    <w:rsid w:val="00DC17FB"/>
    <w:rsid w:val="00DC5025"/>
    <w:rsid w:val="00DD2F7F"/>
    <w:rsid w:val="00DF2C9A"/>
    <w:rsid w:val="00DF3BBE"/>
    <w:rsid w:val="00E02A20"/>
    <w:rsid w:val="00E02C38"/>
    <w:rsid w:val="00E037F3"/>
    <w:rsid w:val="00E06B30"/>
    <w:rsid w:val="00E10FD7"/>
    <w:rsid w:val="00E11AC1"/>
    <w:rsid w:val="00E17C16"/>
    <w:rsid w:val="00E23B0B"/>
    <w:rsid w:val="00E250D2"/>
    <w:rsid w:val="00E2650B"/>
    <w:rsid w:val="00E30A92"/>
    <w:rsid w:val="00E32699"/>
    <w:rsid w:val="00E33C58"/>
    <w:rsid w:val="00E45E55"/>
    <w:rsid w:val="00E510A3"/>
    <w:rsid w:val="00E5428C"/>
    <w:rsid w:val="00E610A8"/>
    <w:rsid w:val="00E709FE"/>
    <w:rsid w:val="00E72137"/>
    <w:rsid w:val="00E73C5F"/>
    <w:rsid w:val="00E8105D"/>
    <w:rsid w:val="00E828F3"/>
    <w:rsid w:val="00E90E80"/>
    <w:rsid w:val="00EA1288"/>
    <w:rsid w:val="00EA7F77"/>
    <w:rsid w:val="00EB314D"/>
    <w:rsid w:val="00EC3E1B"/>
    <w:rsid w:val="00ED729E"/>
    <w:rsid w:val="00EF1FA1"/>
    <w:rsid w:val="00EF42D4"/>
    <w:rsid w:val="00EF63FD"/>
    <w:rsid w:val="00EF6743"/>
    <w:rsid w:val="00EF692F"/>
    <w:rsid w:val="00EF7115"/>
    <w:rsid w:val="00EF7969"/>
    <w:rsid w:val="00F05791"/>
    <w:rsid w:val="00F210F6"/>
    <w:rsid w:val="00F21834"/>
    <w:rsid w:val="00F238EE"/>
    <w:rsid w:val="00F24E83"/>
    <w:rsid w:val="00F25106"/>
    <w:rsid w:val="00F30550"/>
    <w:rsid w:val="00F31BDE"/>
    <w:rsid w:val="00F32AD6"/>
    <w:rsid w:val="00F35F00"/>
    <w:rsid w:val="00F46B61"/>
    <w:rsid w:val="00F472F9"/>
    <w:rsid w:val="00F61448"/>
    <w:rsid w:val="00F648C3"/>
    <w:rsid w:val="00F70283"/>
    <w:rsid w:val="00F756A9"/>
    <w:rsid w:val="00F77F7D"/>
    <w:rsid w:val="00F827DB"/>
    <w:rsid w:val="00F878AA"/>
    <w:rsid w:val="00F93A40"/>
    <w:rsid w:val="00FA1620"/>
    <w:rsid w:val="00FA30FA"/>
    <w:rsid w:val="00FB3931"/>
    <w:rsid w:val="00FC436D"/>
    <w:rsid w:val="00FE3C10"/>
    <w:rsid w:val="01BFC4A9"/>
    <w:rsid w:val="01E92041"/>
    <w:rsid w:val="0262F7D8"/>
    <w:rsid w:val="0535C515"/>
    <w:rsid w:val="0559B6FA"/>
    <w:rsid w:val="05C95691"/>
    <w:rsid w:val="065D0740"/>
    <w:rsid w:val="067501E8"/>
    <w:rsid w:val="08554953"/>
    <w:rsid w:val="09C8E803"/>
    <w:rsid w:val="0BE6D53F"/>
    <w:rsid w:val="0BEBDEC3"/>
    <w:rsid w:val="0C6F1D1A"/>
    <w:rsid w:val="0CD73C88"/>
    <w:rsid w:val="0D339220"/>
    <w:rsid w:val="110D7F7F"/>
    <w:rsid w:val="110FCBD1"/>
    <w:rsid w:val="17AAF0CE"/>
    <w:rsid w:val="18C42DE6"/>
    <w:rsid w:val="1943709C"/>
    <w:rsid w:val="1A685D1E"/>
    <w:rsid w:val="1AE3E8C5"/>
    <w:rsid w:val="1AE43ABE"/>
    <w:rsid w:val="1C41B643"/>
    <w:rsid w:val="1C5CFB89"/>
    <w:rsid w:val="1CF4BF85"/>
    <w:rsid w:val="1CFC3395"/>
    <w:rsid w:val="1DE78B7B"/>
    <w:rsid w:val="21568F13"/>
    <w:rsid w:val="21DB88E7"/>
    <w:rsid w:val="21EAF246"/>
    <w:rsid w:val="23AD84B8"/>
    <w:rsid w:val="2516C51F"/>
    <w:rsid w:val="263E3ACF"/>
    <w:rsid w:val="27116059"/>
    <w:rsid w:val="27ACCD49"/>
    <w:rsid w:val="2ACEE3F0"/>
    <w:rsid w:val="2B0854F4"/>
    <w:rsid w:val="2B3AEFB5"/>
    <w:rsid w:val="2CBA19E7"/>
    <w:rsid w:val="2E32BABF"/>
    <w:rsid w:val="2EBFFD7A"/>
    <w:rsid w:val="2FA31264"/>
    <w:rsid w:val="311024A0"/>
    <w:rsid w:val="32572438"/>
    <w:rsid w:val="35DB8AE1"/>
    <w:rsid w:val="365508C5"/>
    <w:rsid w:val="38A0F907"/>
    <w:rsid w:val="3DE8A3AD"/>
    <w:rsid w:val="3DF90540"/>
    <w:rsid w:val="3FBA0451"/>
    <w:rsid w:val="4009718B"/>
    <w:rsid w:val="41B6033A"/>
    <w:rsid w:val="438B82B4"/>
    <w:rsid w:val="4421AE37"/>
    <w:rsid w:val="4431F3A3"/>
    <w:rsid w:val="443F06AA"/>
    <w:rsid w:val="44C64802"/>
    <w:rsid w:val="4539E362"/>
    <w:rsid w:val="4627DD91"/>
    <w:rsid w:val="47077B68"/>
    <w:rsid w:val="481D6F52"/>
    <w:rsid w:val="48454A0E"/>
    <w:rsid w:val="4922127E"/>
    <w:rsid w:val="4A0C4ED6"/>
    <w:rsid w:val="4A0FBECE"/>
    <w:rsid w:val="4A32C54D"/>
    <w:rsid w:val="4AAA1CDE"/>
    <w:rsid w:val="4D8471C4"/>
    <w:rsid w:val="4EF7F020"/>
    <w:rsid w:val="538C8581"/>
    <w:rsid w:val="54F45BA1"/>
    <w:rsid w:val="59E831F4"/>
    <w:rsid w:val="5A552597"/>
    <w:rsid w:val="5C37B0ED"/>
    <w:rsid w:val="5CD1B7BB"/>
    <w:rsid w:val="5DBC2AF1"/>
    <w:rsid w:val="5DE61728"/>
    <w:rsid w:val="5F71156A"/>
    <w:rsid w:val="6009AF07"/>
    <w:rsid w:val="61951B86"/>
    <w:rsid w:val="6201F991"/>
    <w:rsid w:val="62F1C061"/>
    <w:rsid w:val="62F819B8"/>
    <w:rsid w:val="649A1286"/>
    <w:rsid w:val="6619CF88"/>
    <w:rsid w:val="66C4D97B"/>
    <w:rsid w:val="6750DA06"/>
    <w:rsid w:val="67D897D3"/>
    <w:rsid w:val="6863C598"/>
    <w:rsid w:val="6B70847E"/>
    <w:rsid w:val="6C6CCF26"/>
    <w:rsid w:val="6D1686F2"/>
    <w:rsid w:val="6D309611"/>
    <w:rsid w:val="6ECBA240"/>
    <w:rsid w:val="6F781F4E"/>
    <w:rsid w:val="71C19BC9"/>
    <w:rsid w:val="72B1E9E8"/>
    <w:rsid w:val="7575D909"/>
    <w:rsid w:val="77BE8904"/>
    <w:rsid w:val="77E1631B"/>
    <w:rsid w:val="79523DCA"/>
    <w:rsid w:val="7A7C50B0"/>
    <w:rsid w:val="7B8F1B16"/>
    <w:rsid w:val="7CED53B3"/>
    <w:rsid w:val="7F2D7B93"/>
    <w:rsid w:val="7F86C748"/>
    <w:rsid w:val="7FD4A9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C8792"/>
  <w15:chartTrackingRefBased/>
  <w15:docId w15:val="{EDD1A2A8-2F98-4F5C-B468-A8F5217E2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D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5D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5D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5D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5D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5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D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5D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5D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5D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5D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5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DD7"/>
    <w:rPr>
      <w:rFonts w:eastAsiaTheme="majorEastAsia" w:cstheme="majorBidi"/>
      <w:color w:val="272727" w:themeColor="text1" w:themeTint="D8"/>
    </w:rPr>
  </w:style>
  <w:style w:type="paragraph" w:styleId="Title">
    <w:name w:val="Title"/>
    <w:basedOn w:val="Normal"/>
    <w:next w:val="Normal"/>
    <w:link w:val="TitleChar"/>
    <w:uiPriority w:val="10"/>
    <w:qFormat/>
    <w:rsid w:val="00B15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DD7"/>
    <w:pPr>
      <w:spacing w:before="160"/>
      <w:jc w:val="center"/>
    </w:pPr>
    <w:rPr>
      <w:i/>
      <w:iCs/>
      <w:color w:val="404040" w:themeColor="text1" w:themeTint="BF"/>
    </w:rPr>
  </w:style>
  <w:style w:type="character" w:customStyle="1" w:styleId="QuoteChar">
    <w:name w:val="Quote Char"/>
    <w:basedOn w:val="DefaultParagraphFont"/>
    <w:link w:val="Quote"/>
    <w:uiPriority w:val="29"/>
    <w:rsid w:val="00B15DD7"/>
    <w:rPr>
      <w:i/>
      <w:iCs/>
      <w:color w:val="404040" w:themeColor="text1" w:themeTint="BF"/>
    </w:rPr>
  </w:style>
  <w:style w:type="paragraph" w:styleId="ListParagraph">
    <w:name w:val="List Paragraph"/>
    <w:basedOn w:val="Normal"/>
    <w:uiPriority w:val="34"/>
    <w:qFormat/>
    <w:rsid w:val="00B15DD7"/>
    <w:pPr>
      <w:ind w:left="720"/>
      <w:contextualSpacing/>
    </w:pPr>
  </w:style>
  <w:style w:type="character" w:styleId="IntenseEmphasis">
    <w:name w:val="Intense Emphasis"/>
    <w:basedOn w:val="DefaultParagraphFont"/>
    <w:uiPriority w:val="21"/>
    <w:qFormat/>
    <w:rsid w:val="00B15DD7"/>
    <w:rPr>
      <w:i/>
      <w:iCs/>
      <w:color w:val="2F5496" w:themeColor="accent1" w:themeShade="BF"/>
    </w:rPr>
  </w:style>
  <w:style w:type="paragraph" w:styleId="IntenseQuote">
    <w:name w:val="Intense Quote"/>
    <w:basedOn w:val="Normal"/>
    <w:next w:val="Normal"/>
    <w:link w:val="IntenseQuoteChar"/>
    <w:uiPriority w:val="30"/>
    <w:qFormat/>
    <w:rsid w:val="00B15D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5DD7"/>
    <w:rPr>
      <w:i/>
      <w:iCs/>
      <w:color w:val="2F5496" w:themeColor="accent1" w:themeShade="BF"/>
    </w:rPr>
  </w:style>
  <w:style w:type="character" w:styleId="IntenseReference">
    <w:name w:val="Intense Reference"/>
    <w:basedOn w:val="DefaultParagraphFont"/>
    <w:uiPriority w:val="32"/>
    <w:qFormat/>
    <w:rsid w:val="00B15DD7"/>
    <w:rPr>
      <w:b/>
      <w:bCs/>
      <w:smallCaps/>
      <w:color w:val="2F5496" w:themeColor="accent1" w:themeShade="BF"/>
      <w:spacing w:val="5"/>
    </w:rPr>
  </w:style>
  <w:style w:type="paragraph" w:styleId="Header">
    <w:name w:val="header"/>
    <w:basedOn w:val="Normal"/>
    <w:link w:val="HeaderChar"/>
    <w:uiPriority w:val="99"/>
    <w:unhideWhenUsed/>
    <w:rsid w:val="00615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C75"/>
  </w:style>
  <w:style w:type="paragraph" w:styleId="Footer">
    <w:name w:val="footer"/>
    <w:basedOn w:val="Normal"/>
    <w:link w:val="FooterChar"/>
    <w:uiPriority w:val="99"/>
    <w:unhideWhenUsed/>
    <w:rsid w:val="00615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C75"/>
  </w:style>
  <w:style w:type="character" w:styleId="Hyperlink">
    <w:name w:val="Hyperlink"/>
    <w:basedOn w:val="DefaultParagraphFont"/>
    <w:uiPriority w:val="99"/>
    <w:unhideWhenUsed/>
    <w:rsid w:val="00260A38"/>
    <w:rPr>
      <w:color w:val="0563C1" w:themeColor="hyperlink"/>
      <w:u w:val="single"/>
    </w:rPr>
  </w:style>
  <w:style w:type="character" w:styleId="UnresolvedMention">
    <w:name w:val="Unresolved Mention"/>
    <w:basedOn w:val="DefaultParagraphFont"/>
    <w:uiPriority w:val="99"/>
    <w:semiHidden/>
    <w:unhideWhenUsed/>
    <w:rsid w:val="00260A38"/>
    <w:rPr>
      <w:color w:val="605E5C"/>
      <w:shd w:val="clear" w:color="auto" w:fill="E1DFDD"/>
    </w:rPr>
  </w:style>
  <w:style w:type="table" w:styleId="TableGrid">
    <w:name w:val="Table Grid"/>
    <w:basedOn w:val="TableNormal"/>
    <w:uiPriority w:val="59"/>
    <w:rsid w:val="00E02C38"/>
    <w:pPr>
      <w:spacing w:after="0" w:line="240" w:lineRule="auto"/>
    </w:pP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34579"/>
    <w:pPr>
      <w:spacing w:after="0" w:line="240" w:lineRule="auto"/>
    </w:pPr>
  </w:style>
  <w:style w:type="paragraph" w:styleId="CommentSubject">
    <w:name w:val="annotation subject"/>
    <w:basedOn w:val="CommentText"/>
    <w:next w:val="CommentText"/>
    <w:link w:val="CommentSubjectChar"/>
    <w:uiPriority w:val="99"/>
    <w:semiHidden/>
    <w:unhideWhenUsed/>
    <w:rsid w:val="00AF0D9E"/>
    <w:rPr>
      <w:b/>
      <w:bCs/>
    </w:rPr>
  </w:style>
  <w:style w:type="character" w:customStyle="1" w:styleId="CommentSubjectChar">
    <w:name w:val="Comment Subject Char"/>
    <w:basedOn w:val="CommentTextChar"/>
    <w:link w:val="CommentSubject"/>
    <w:uiPriority w:val="99"/>
    <w:semiHidden/>
    <w:rsid w:val="00AF0D9E"/>
    <w:rPr>
      <w:b/>
      <w:bCs/>
      <w:sz w:val="20"/>
      <w:szCs w:val="20"/>
    </w:rPr>
  </w:style>
  <w:style w:type="table" w:styleId="GridTable5Dark-Accent1">
    <w:name w:val="Grid Table 5 Dark Accent 1"/>
    <w:basedOn w:val="TableNormal"/>
    <w:uiPriority w:val="50"/>
    <w:rsid w:val="00CA46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CA46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1">
    <w:name w:val="Grid Table 4 Accent 1"/>
    <w:basedOn w:val="TableNormal"/>
    <w:uiPriority w:val="49"/>
    <w:rsid w:val="00CA465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ention">
    <w:name w:val="Mention"/>
    <w:basedOn w:val="DefaultParagraphFont"/>
    <w:uiPriority w:val="99"/>
    <w:unhideWhenUsed/>
    <w:rsid w:val="002F15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3731">
      <w:bodyDiv w:val="1"/>
      <w:marLeft w:val="0"/>
      <w:marRight w:val="0"/>
      <w:marTop w:val="0"/>
      <w:marBottom w:val="0"/>
      <w:divBdr>
        <w:top w:val="none" w:sz="0" w:space="0" w:color="auto"/>
        <w:left w:val="none" w:sz="0" w:space="0" w:color="auto"/>
        <w:bottom w:val="none" w:sz="0" w:space="0" w:color="auto"/>
        <w:right w:val="none" w:sz="0" w:space="0" w:color="auto"/>
      </w:divBdr>
    </w:div>
    <w:div w:id="193856875">
      <w:bodyDiv w:val="1"/>
      <w:marLeft w:val="0"/>
      <w:marRight w:val="0"/>
      <w:marTop w:val="0"/>
      <w:marBottom w:val="0"/>
      <w:divBdr>
        <w:top w:val="none" w:sz="0" w:space="0" w:color="auto"/>
        <w:left w:val="none" w:sz="0" w:space="0" w:color="auto"/>
        <w:bottom w:val="none" w:sz="0" w:space="0" w:color="auto"/>
        <w:right w:val="none" w:sz="0" w:space="0" w:color="auto"/>
      </w:divBdr>
    </w:div>
    <w:div w:id="228927967">
      <w:bodyDiv w:val="1"/>
      <w:marLeft w:val="0"/>
      <w:marRight w:val="0"/>
      <w:marTop w:val="0"/>
      <w:marBottom w:val="0"/>
      <w:divBdr>
        <w:top w:val="none" w:sz="0" w:space="0" w:color="auto"/>
        <w:left w:val="none" w:sz="0" w:space="0" w:color="auto"/>
        <w:bottom w:val="none" w:sz="0" w:space="0" w:color="auto"/>
        <w:right w:val="none" w:sz="0" w:space="0" w:color="auto"/>
      </w:divBdr>
    </w:div>
    <w:div w:id="232474336">
      <w:bodyDiv w:val="1"/>
      <w:marLeft w:val="0"/>
      <w:marRight w:val="0"/>
      <w:marTop w:val="0"/>
      <w:marBottom w:val="0"/>
      <w:divBdr>
        <w:top w:val="none" w:sz="0" w:space="0" w:color="auto"/>
        <w:left w:val="none" w:sz="0" w:space="0" w:color="auto"/>
        <w:bottom w:val="none" w:sz="0" w:space="0" w:color="auto"/>
        <w:right w:val="none" w:sz="0" w:space="0" w:color="auto"/>
      </w:divBdr>
    </w:div>
    <w:div w:id="290597570">
      <w:bodyDiv w:val="1"/>
      <w:marLeft w:val="0"/>
      <w:marRight w:val="0"/>
      <w:marTop w:val="0"/>
      <w:marBottom w:val="0"/>
      <w:divBdr>
        <w:top w:val="none" w:sz="0" w:space="0" w:color="auto"/>
        <w:left w:val="none" w:sz="0" w:space="0" w:color="auto"/>
        <w:bottom w:val="none" w:sz="0" w:space="0" w:color="auto"/>
        <w:right w:val="none" w:sz="0" w:space="0" w:color="auto"/>
      </w:divBdr>
    </w:div>
    <w:div w:id="310254791">
      <w:bodyDiv w:val="1"/>
      <w:marLeft w:val="0"/>
      <w:marRight w:val="0"/>
      <w:marTop w:val="0"/>
      <w:marBottom w:val="0"/>
      <w:divBdr>
        <w:top w:val="none" w:sz="0" w:space="0" w:color="auto"/>
        <w:left w:val="none" w:sz="0" w:space="0" w:color="auto"/>
        <w:bottom w:val="none" w:sz="0" w:space="0" w:color="auto"/>
        <w:right w:val="none" w:sz="0" w:space="0" w:color="auto"/>
      </w:divBdr>
    </w:div>
    <w:div w:id="410078899">
      <w:bodyDiv w:val="1"/>
      <w:marLeft w:val="0"/>
      <w:marRight w:val="0"/>
      <w:marTop w:val="0"/>
      <w:marBottom w:val="0"/>
      <w:divBdr>
        <w:top w:val="none" w:sz="0" w:space="0" w:color="auto"/>
        <w:left w:val="none" w:sz="0" w:space="0" w:color="auto"/>
        <w:bottom w:val="none" w:sz="0" w:space="0" w:color="auto"/>
        <w:right w:val="none" w:sz="0" w:space="0" w:color="auto"/>
      </w:divBdr>
    </w:div>
    <w:div w:id="421727584">
      <w:bodyDiv w:val="1"/>
      <w:marLeft w:val="0"/>
      <w:marRight w:val="0"/>
      <w:marTop w:val="0"/>
      <w:marBottom w:val="0"/>
      <w:divBdr>
        <w:top w:val="none" w:sz="0" w:space="0" w:color="auto"/>
        <w:left w:val="none" w:sz="0" w:space="0" w:color="auto"/>
        <w:bottom w:val="none" w:sz="0" w:space="0" w:color="auto"/>
        <w:right w:val="none" w:sz="0" w:space="0" w:color="auto"/>
      </w:divBdr>
    </w:div>
    <w:div w:id="469715320">
      <w:bodyDiv w:val="1"/>
      <w:marLeft w:val="0"/>
      <w:marRight w:val="0"/>
      <w:marTop w:val="0"/>
      <w:marBottom w:val="0"/>
      <w:divBdr>
        <w:top w:val="none" w:sz="0" w:space="0" w:color="auto"/>
        <w:left w:val="none" w:sz="0" w:space="0" w:color="auto"/>
        <w:bottom w:val="none" w:sz="0" w:space="0" w:color="auto"/>
        <w:right w:val="none" w:sz="0" w:space="0" w:color="auto"/>
      </w:divBdr>
    </w:div>
    <w:div w:id="472021960">
      <w:bodyDiv w:val="1"/>
      <w:marLeft w:val="0"/>
      <w:marRight w:val="0"/>
      <w:marTop w:val="0"/>
      <w:marBottom w:val="0"/>
      <w:divBdr>
        <w:top w:val="none" w:sz="0" w:space="0" w:color="auto"/>
        <w:left w:val="none" w:sz="0" w:space="0" w:color="auto"/>
        <w:bottom w:val="none" w:sz="0" w:space="0" w:color="auto"/>
        <w:right w:val="none" w:sz="0" w:space="0" w:color="auto"/>
      </w:divBdr>
    </w:div>
    <w:div w:id="581833789">
      <w:bodyDiv w:val="1"/>
      <w:marLeft w:val="0"/>
      <w:marRight w:val="0"/>
      <w:marTop w:val="0"/>
      <w:marBottom w:val="0"/>
      <w:divBdr>
        <w:top w:val="none" w:sz="0" w:space="0" w:color="auto"/>
        <w:left w:val="none" w:sz="0" w:space="0" w:color="auto"/>
        <w:bottom w:val="none" w:sz="0" w:space="0" w:color="auto"/>
        <w:right w:val="none" w:sz="0" w:space="0" w:color="auto"/>
      </w:divBdr>
    </w:div>
    <w:div w:id="612252800">
      <w:bodyDiv w:val="1"/>
      <w:marLeft w:val="0"/>
      <w:marRight w:val="0"/>
      <w:marTop w:val="0"/>
      <w:marBottom w:val="0"/>
      <w:divBdr>
        <w:top w:val="none" w:sz="0" w:space="0" w:color="auto"/>
        <w:left w:val="none" w:sz="0" w:space="0" w:color="auto"/>
        <w:bottom w:val="none" w:sz="0" w:space="0" w:color="auto"/>
        <w:right w:val="none" w:sz="0" w:space="0" w:color="auto"/>
      </w:divBdr>
    </w:div>
    <w:div w:id="623074739">
      <w:bodyDiv w:val="1"/>
      <w:marLeft w:val="0"/>
      <w:marRight w:val="0"/>
      <w:marTop w:val="0"/>
      <w:marBottom w:val="0"/>
      <w:divBdr>
        <w:top w:val="none" w:sz="0" w:space="0" w:color="auto"/>
        <w:left w:val="none" w:sz="0" w:space="0" w:color="auto"/>
        <w:bottom w:val="none" w:sz="0" w:space="0" w:color="auto"/>
        <w:right w:val="none" w:sz="0" w:space="0" w:color="auto"/>
      </w:divBdr>
    </w:div>
    <w:div w:id="674461592">
      <w:bodyDiv w:val="1"/>
      <w:marLeft w:val="0"/>
      <w:marRight w:val="0"/>
      <w:marTop w:val="0"/>
      <w:marBottom w:val="0"/>
      <w:divBdr>
        <w:top w:val="none" w:sz="0" w:space="0" w:color="auto"/>
        <w:left w:val="none" w:sz="0" w:space="0" w:color="auto"/>
        <w:bottom w:val="none" w:sz="0" w:space="0" w:color="auto"/>
        <w:right w:val="none" w:sz="0" w:space="0" w:color="auto"/>
      </w:divBdr>
    </w:div>
    <w:div w:id="741949954">
      <w:bodyDiv w:val="1"/>
      <w:marLeft w:val="0"/>
      <w:marRight w:val="0"/>
      <w:marTop w:val="0"/>
      <w:marBottom w:val="0"/>
      <w:divBdr>
        <w:top w:val="none" w:sz="0" w:space="0" w:color="auto"/>
        <w:left w:val="none" w:sz="0" w:space="0" w:color="auto"/>
        <w:bottom w:val="none" w:sz="0" w:space="0" w:color="auto"/>
        <w:right w:val="none" w:sz="0" w:space="0" w:color="auto"/>
      </w:divBdr>
    </w:div>
    <w:div w:id="782647623">
      <w:bodyDiv w:val="1"/>
      <w:marLeft w:val="0"/>
      <w:marRight w:val="0"/>
      <w:marTop w:val="0"/>
      <w:marBottom w:val="0"/>
      <w:divBdr>
        <w:top w:val="none" w:sz="0" w:space="0" w:color="auto"/>
        <w:left w:val="none" w:sz="0" w:space="0" w:color="auto"/>
        <w:bottom w:val="none" w:sz="0" w:space="0" w:color="auto"/>
        <w:right w:val="none" w:sz="0" w:space="0" w:color="auto"/>
      </w:divBdr>
    </w:div>
    <w:div w:id="850024274">
      <w:bodyDiv w:val="1"/>
      <w:marLeft w:val="0"/>
      <w:marRight w:val="0"/>
      <w:marTop w:val="0"/>
      <w:marBottom w:val="0"/>
      <w:divBdr>
        <w:top w:val="none" w:sz="0" w:space="0" w:color="auto"/>
        <w:left w:val="none" w:sz="0" w:space="0" w:color="auto"/>
        <w:bottom w:val="none" w:sz="0" w:space="0" w:color="auto"/>
        <w:right w:val="none" w:sz="0" w:space="0" w:color="auto"/>
      </w:divBdr>
    </w:div>
    <w:div w:id="992374614">
      <w:bodyDiv w:val="1"/>
      <w:marLeft w:val="0"/>
      <w:marRight w:val="0"/>
      <w:marTop w:val="0"/>
      <w:marBottom w:val="0"/>
      <w:divBdr>
        <w:top w:val="none" w:sz="0" w:space="0" w:color="auto"/>
        <w:left w:val="none" w:sz="0" w:space="0" w:color="auto"/>
        <w:bottom w:val="none" w:sz="0" w:space="0" w:color="auto"/>
        <w:right w:val="none" w:sz="0" w:space="0" w:color="auto"/>
      </w:divBdr>
    </w:div>
    <w:div w:id="1139112833">
      <w:bodyDiv w:val="1"/>
      <w:marLeft w:val="0"/>
      <w:marRight w:val="0"/>
      <w:marTop w:val="0"/>
      <w:marBottom w:val="0"/>
      <w:divBdr>
        <w:top w:val="none" w:sz="0" w:space="0" w:color="auto"/>
        <w:left w:val="none" w:sz="0" w:space="0" w:color="auto"/>
        <w:bottom w:val="none" w:sz="0" w:space="0" w:color="auto"/>
        <w:right w:val="none" w:sz="0" w:space="0" w:color="auto"/>
      </w:divBdr>
    </w:div>
    <w:div w:id="1170948869">
      <w:bodyDiv w:val="1"/>
      <w:marLeft w:val="0"/>
      <w:marRight w:val="0"/>
      <w:marTop w:val="0"/>
      <w:marBottom w:val="0"/>
      <w:divBdr>
        <w:top w:val="none" w:sz="0" w:space="0" w:color="auto"/>
        <w:left w:val="none" w:sz="0" w:space="0" w:color="auto"/>
        <w:bottom w:val="none" w:sz="0" w:space="0" w:color="auto"/>
        <w:right w:val="none" w:sz="0" w:space="0" w:color="auto"/>
      </w:divBdr>
    </w:div>
    <w:div w:id="1337613057">
      <w:bodyDiv w:val="1"/>
      <w:marLeft w:val="0"/>
      <w:marRight w:val="0"/>
      <w:marTop w:val="0"/>
      <w:marBottom w:val="0"/>
      <w:divBdr>
        <w:top w:val="none" w:sz="0" w:space="0" w:color="auto"/>
        <w:left w:val="none" w:sz="0" w:space="0" w:color="auto"/>
        <w:bottom w:val="none" w:sz="0" w:space="0" w:color="auto"/>
        <w:right w:val="none" w:sz="0" w:space="0" w:color="auto"/>
      </w:divBdr>
    </w:div>
    <w:div w:id="1412239202">
      <w:bodyDiv w:val="1"/>
      <w:marLeft w:val="0"/>
      <w:marRight w:val="0"/>
      <w:marTop w:val="0"/>
      <w:marBottom w:val="0"/>
      <w:divBdr>
        <w:top w:val="none" w:sz="0" w:space="0" w:color="auto"/>
        <w:left w:val="none" w:sz="0" w:space="0" w:color="auto"/>
        <w:bottom w:val="none" w:sz="0" w:space="0" w:color="auto"/>
        <w:right w:val="none" w:sz="0" w:space="0" w:color="auto"/>
      </w:divBdr>
    </w:div>
    <w:div w:id="1463962758">
      <w:bodyDiv w:val="1"/>
      <w:marLeft w:val="0"/>
      <w:marRight w:val="0"/>
      <w:marTop w:val="0"/>
      <w:marBottom w:val="0"/>
      <w:divBdr>
        <w:top w:val="none" w:sz="0" w:space="0" w:color="auto"/>
        <w:left w:val="none" w:sz="0" w:space="0" w:color="auto"/>
        <w:bottom w:val="none" w:sz="0" w:space="0" w:color="auto"/>
        <w:right w:val="none" w:sz="0" w:space="0" w:color="auto"/>
      </w:divBdr>
    </w:div>
    <w:div w:id="1479105241">
      <w:bodyDiv w:val="1"/>
      <w:marLeft w:val="0"/>
      <w:marRight w:val="0"/>
      <w:marTop w:val="0"/>
      <w:marBottom w:val="0"/>
      <w:divBdr>
        <w:top w:val="none" w:sz="0" w:space="0" w:color="auto"/>
        <w:left w:val="none" w:sz="0" w:space="0" w:color="auto"/>
        <w:bottom w:val="none" w:sz="0" w:space="0" w:color="auto"/>
        <w:right w:val="none" w:sz="0" w:space="0" w:color="auto"/>
      </w:divBdr>
    </w:div>
    <w:div w:id="1525363180">
      <w:bodyDiv w:val="1"/>
      <w:marLeft w:val="0"/>
      <w:marRight w:val="0"/>
      <w:marTop w:val="0"/>
      <w:marBottom w:val="0"/>
      <w:divBdr>
        <w:top w:val="none" w:sz="0" w:space="0" w:color="auto"/>
        <w:left w:val="none" w:sz="0" w:space="0" w:color="auto"/>
        <w:bottom w:val="none" w:sz="0" w:space="0" w:color="auto"/>
        <w:right w:val="none" w:sz="0" w:space="0" w:color="auto"/>
      </w:divBdr>
    </w:div>
    <w:div w:id="1616985886">
      <w:bodyDiv w:val="1"/>
      <w:marLeft w:val="0"/>
      <w:marRight w:val="0"/>
      <w:marTop w:val="0"/>
      <w:marBottom w:val="0"/>
      <w:divBdr>
        <w:top w:val="none" w:sz="0" w:space="0" w:color="auto"/>
        <w:left w:val="none" w:sz="0" w:space="0" w:color="auto"/>
        <w:bottom w:val="none" w:sz="0" w:space="0" w:color="auto"/>
        <w:right w:val="none" w:sz="0" w:space="0" w:color="auto"/>
      </w:divBdr>
    </w:div>
    <w:div w:id="1682391756">
      <w:bodyDiv w:val="1"/>
      <w:marLeft w:val="0"/>
      <w:marRight w:val="0"/>
      <w:marTop w:val="0"/>
      <w:marBottom w:val="0"/>
      <w:divBdr>
        <w:top w:val="none" w:sz="0" w:space="0" w:color="auto"/>
        <w:left w:val="none" w:sz="0" w:space="0" w:color="auto"/>
        <w:bottom w:val="none" w:sz="0" w:space="0" w:color="auto"/>
        <w:right w:val="none" w:sz="0" w:space="0" w:color="auto"/>
      </w:divBdr>
    </w:div>
    <w:div w:id="1770344874">
      <w:bodyDiv w:val="1"/>
      <w:marLeft w:val="0"/>
      <w:marRight w:val="0"/>
      <w:marTop w:val="0"/>
      <w:marBottom w:val="0"/>
      <w:divBdr>
        <w:top w:val="none" w:sz="0" w:space="0" w:color="auto"/>
        <w:left w:val="none" w:sz="0" w:space="0" w:color="auto"/>
        <w:bottom w:val="none" w:sz="0" w:space="0" w:color="auto"/>
        <w:right w:val="none" w:sz="0" w:space="0" w:color="auto"/>
      </w:divBdr>
    </w:div>
    <w:div w:id="1925914020">
      <w:bodyDiv w:val="1"/>
      <w:marLeft w:val="0"/>
      <w:marRight w:val="0"/>
      <w:marTop w:val="0"/>
      <w:marBottom w:val="0"/>
      <w:divBdr>
        <w:top w:val="none" w:sz="0" w:space="0" w:color="auto"/>
        <w:left w:val="none" w:sz="0" w:space="0" w:color="auto"/>
        <w:bottom w:val="none" w:sz="0" w:space="0" w:color="auto"/>
        <w:right w:val="none" w:sz="0" w:space="0" w:color="auto"/>
      </w:divBdr>
    </w:div>
    <w:div w:id="206605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evon.gov.uk/children-families-education/child-family-support/young-people/youth-voice-and-participation/" TargetMode="External"/><Relationship Id="rId18" Type="http://schemas.openxmlformats.org/officeDocument/2006/relationships/hyperlink" Target="https://www.devonservices.org.uk/service/together-alcohol-services/" TargetMode="External"/><Relationship Id="rId26" Type="http://schemas.openxmlformats.org/officeDocument/2006/relationships/hyperlink" Target="https://www.healthwatch.co.uk/report/2025-07-25/what-trans-and-non-binary-people-told-us-about-gp-care" TargetMode="External"/><Relationship Id="rId3" Type="http://schemas.openxmlformats.org/officeDocument/2006/relationships/customXml" Target="../customXml/item3.xml"/><Relationship Id="rId21" Type="http://schemas.openxmlformats.org/officeDocument/2006/relationships/hyperlink" Target="https://www.smf.co.uk/publications/transport-poverty-hidden-crisi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bmj.com/content/388/bmj.r486.full" TargetMode="External"/><Relationship Id="rId17" Type="http://schemas.openxmlformats.org/officeDocument/2006/relationships/hyperlink" Target="https://www.devoncommunities.org.uk/" TargetMode="External"/><Relationship Id="rId25" Type="http://schemas.openxmlformats.org/officeDocument/2006/relationships/hyperlink" Target="https://www.devonhealthandwellbeing.org.uk/librar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evonfoodpartnership.org.uk/our-work/food-insecurity-hub/" TargetMode="External"/><Relationship Id="rId20" Type="http://schemas.openxmlformats.org/officeDocument/2006/relationships/hyperlink" Target="https://www.devonhealthandwellbeing.org.uk/jsna/overview/"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hsrho.org/" TargetMode="External"/><Relationship Id="rId24" Type="http://schemas.openxmlformats.org/officeDocument/2006/relationships/hyperlink" Target="https://www.devonhealthandwellbeing.org.uk/public-health-dashboards/"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democracy.devon.gov.uk/documents/s44441/Food%20Insecurity%20and%20Response%20to%20Household%20Support.pdf" TargetMode="External"/><Relationship Id="rId23" Type="http://schemas.openxmlformats.org/officeDocument/2006/relationships/hyperlink" Target="https://www.devonhealthandwellbeing.org.uk/new-jsna-headline-report/" TargetMode="External"/><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www.devonhealthandwellbeing.org.uk/jsna/overview/"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evonhealthandwellbeing.org.uk/jsna/overview/" TargetMode="External"/><Relationship Id="rId22" Type="http://schemas.openxmlformats.org/officeDocument/2006/relationships/hyperlink" Target="https://www.devon.gov.uk/news/devon-county-council-calls-on-government-to-address-rural-challenges/"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72CBE59306AD47A8B5152E22C04D0D" ma:contentTypeVersion="6" ma:contentTypeDescription="Create a new document." ma:contentTypeScope="" ma:versionID="18e7e6222753f332930e4468b62a2dac">
  <xsd:schema xmlns:xsd="http://www.w3.org/2001/XMLSchema" xmlns:xs="http://www.w3.org/2001/XMLSchema" xmlns:p="http://schemas.microsoft.com/office/2006/metadata/properties" xmlns:ns2="6780b55e-82f6-4014-9a5a-f2bbf33b139c" xmlns:ns3="e425185b-b07e-442a-9ca1-e30c5e21529a" targetNamespace="http://schemas.microsoft.com/office/2006/metadata/properties" ma:root="true" ma:fieldsID="649ede5b44ea5b6d5d1acdc9f3d35939" ns2:_="" ns3:_="">
    <xsd:import namespace="6780b55e-82f6-4014-9a5a-f2bbf33b139c"/>
    <xsd:import namespace="e425185b-b07e-442a-9ca1-e30c5e2152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0b55e-82f6-4014-9a5a-f2bbf33b1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25185b-b07e-442a-9ca1-e30c5e21529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DDA758-6ABD-4552-A072-CC57E03767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C00ACF-E451-4AF1-9E45-BC8DB028265A}">
  <ds:schemaRefs>
    <ds:schemaRef ds:uri="http://schemas.microsoft.com/sharepoint/v3/contenttype/forms"/>
  </ds:schemaRefs>
</ds:datastoreItem>
</file>

<file path=customXml/itemProps3.xml><?xml version="1.0" encoding="utf-8"?>
<ds:datastoreItem xmlns:ds="http://schemas.openxmlformats.org/officeDocument/2006/customXml" ds:itemID="{F55341FB-AF76-4B5A-91CF-C7E7F75F2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0b55e-82f6-4014-9a5a-f2bbf33b139c"/>
    <ds:schemaRef ds:uri="e425185b-b07e-442a-9ca1-e30c5e215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2152</Words>
  <Characters>14235</Characters>
  <Application>Microsoft Office Word</Application>
  <DocSecurity>0</DocSecurity>
  <Lines>343</Lines>
  <Paragraphs>145</Paragraphs>
  <ScaleCrop>false</ScaleCrop>
  <Company/>
  <LinksUpToDate>false</LinksUpToDate>
  <CharactersWithSpaces>16277</CharactersWithSpaces>
  <SharedDoc>false</SharedDoc>
  <HLinks>
    <vt:vector size="96" baseType="variant">
      <vt:variant>
        <vt:i4>6750254</vt:i4>
      </vt:variant>
      <vt:variant>
        <vt:i4>45</vt:i4>
      </vt:variant>
      <vt:variant>
        <vt:i4>0</vt:i4>
      </vt:variant>
      <vt:variant>
        <vt:i4>5</vt:i4>
      </vt:variant>
      <vt:variant>
        <vt:lpwstr>https://www.healthwatch.co.uk/report/2025-07-25/what-trans-and-non-binary-people-told-us-about-gp-care</vt:lpwstr>
      </vt:variant>
      <vt:variant>
        <vt:lpwstr/>
      </vt:variant>
      <vt:variant>
        <vt:i4>3604607</vt:i4>
      </vt:variant>
      <vt:variant>
        <vt:i4>42</vt:i4>
      </vt:variant>
      <vt:variant>
        <vt:i4>0</vt:i4>
      </vt:variant>
      <vt:variant>
        <vt:i4>5</vt:i4>
      </vt:variant>
      <vt:variant>
        <vt:lpwstr>https://www.devonhealthandwellbeing.org.uk/library/</vt:lpwstr>
      </vt:variant>
      <vt:variant>
        <vt:lpwstr/>
      </vt:variant>
      <vt:variant>
        <vt:i4>4784219</vt:i4>
      </vt:variant>
      <vt:variant>
        <vt:i4>39</vt:i4>
      </vt:variant>
      <vt:variant>
        <vt:i4>0</vt:i4>
      </vt:variant>
      <vt:variant>
        <vt:i4>5</vt:i4>
      </vt:variant>
      <vt:variant>
        <vt:lpwstr>https://www.devonhealthandwellbeing.org.uk/public-health-dashboards/</vt:lpwstr>
      </vt:variant>
      <vt:variant>
        <vt:lpwstr/>
      </vt:variant>
      <vt:variant>
        <vt:i4>4390932</vt:i4>
      </vt:variant>
      <vt:variant>
        <vt:i4>36</vt:i4>
      </vt:variant>
      <vt:variant>
        <vt:i4>0</vt:i4>
      </vt:variant>
      <vt:variant>
        <vt:i4>5</vt:i4>
      </vt:variant>
      <vt:variant>
        <vt:lpwstr>https://www.devonhealthandwellbeing.org.uk/new-jsna-headline-report/</vt:lpwstr>
      </vt:variant>
      <vt:variant>
        <vt:lpwstr/>
      </vt:variant>
      <vt:variant>
        <vt:i4>2097249</vt:i4>
      </vt:variant>
      <vt:variant>
        <vt:i4>33</vt:i4>
      </vt:variant>
      <vt:variant>
        <vt:i4>0</vt:i4>
      </vt:variant>
      <vt:variant>
        <vt:i4>5</vt:i4>
      </vt:variant>
      <vt:variant>
        <vt:lpwstr>https://www.devon.gov.uk/news/devon-county-council-calls-on-government-to-address-rural-challenges/</vt:lpwstr>
      </vt:variant>
      <vt:variant>
        <vt:lpwstr/>
      </vt:variant>
      <vt:variant>
        <vt:i4>6946849</vt:i4>
      </vt:variant>
      <vt:variant>
        <vt:i4>30</vt:i4>
      </vt:variant>
      <vt:variant>
        <vt:i4>0</vt:i4>
      </vt:variant>
      <vt:variant>
        <vt:i4>5</vt:i4>
      </vt:variant>
      <vt:variant>
        <vt:lpwstr>https://www.smf.co.uk/publications/transport-poverty-hidden-crisis/</vt:lpwstr>
      </vt:variant>
      <vt:variant>
        <vt:lpwstr/>
      </vt:variant>
      <vt:variant>
        <vt:i4>1048605</vt:i4>
      </vt:variant>
      <vt:variant>
        <vt:i4>27</vt:i4>
      </vt:variant>
      <vt:variant>
        <vt:i4>0</vt:i4>
      </vt:variant>
      <vt:variant>
        <vt:i4>5</vt:i4>
      </vt:variant>
      <vt:variant>
        <vt:lpwstr>https://www.devonhealthandwellbeing.org.uk/jsna/overview/</vt:lpwstr>
      </vt:variant>
      <vt:variant>
        <vt:lpwstr/>
      </vt:variant>
      <vt:variant>
        <vt:i4>1048605</vt:i4>
      </vt:variant>
      <vt:variant>
        <vt:i4>24</vt:i4>
      </vt:variant>
      <vt:variant>
        <vt:i4>0</vt:i4>
      </vt:variant>
      <vt:variant>
        <vt:i4>5</vt:i4>
      </vt:variant>
      <vt:variant>
        <vt:lpwstr>https://www.devonhealthandwellbeing.org.uk/jsna/overview/</vt:lpwstr>
      </vt:variant>
      <vt:variant>
        <vt:lpwstr/>
      </vt:variant>
      <vt:variant>
        <vt:i4>3538985</vt:i4>
      </vt:variant>
      <vt:variant>
        <vt:i4>21</vt:i4>
      </vt:variant>
      <vt:variant>
        <vt:i4>0</vt:i4>
      </vt:variant>
      <vt:variant>
        <vt:i4>5</vt:i4>
      </vt:variant>
      <vt:variant>
        <vt:lpwstr>https://www.devonservices.org.uk/service/together-alcohol-services/</vt:lpwstr>
      </vt:variant>
      <vt:variant>
        <vt:lpwstr/>
      </vt:variant>
      <vt:variant>
        <vt:i4>1572952</vt:i4>
      </vt:variant>
      <vt:variant>
        <vt:i4>18</vt:i4>
      </vt:variant>
      <vt:variant>
        <vt:i4>0</vt:i4>
      </vt:variant>
      <vt:variant>
        <vt:i4>5</vt:i4>
      </vt:variant>
      <vt:variant>
        <vt:lpwstr>https://www.devoncommunities.org.uk/</vt:lpwstr>
      </vt:variant>
      <vt:variant>
        <vt:lpwstr/>
      </vt:variant>
      <vt:variant>
        <vt:i4>196703</vt:i4>
      </vt:variant>
      <vt:variant>
        <vt:i4>15</vt:i4>
      </vt:variant>
      <vt:variant>
        <vt:i4>0</vt:i4>
      </vt:variant>
      <vt:variant>
        <vt:i4>5</vt:i4>
      </vt:variant>
      <vt:variant>
        <vt:lpwstr>https://www.devonfoodpartnership.org.uk/our-work/food-insecurity-hub/</vt:lpwstr>
      </vt:variant>
      <vt:variant>
        <vt:lpwstr/>
      </vt:variant>
      <vt:variant>
        <vt:i4>5505051</vt:i4>
      </vt:variant>
      <vt:variant>
        <vt:i4>12</vt:i4>
      </vt:variant>
      <vt:variant>
        <vt:i4>0</vt:i4>
      </vt:variant>
      <vt:variant>
        <vt:i4>5</vt:i4>
      </vt:variant>
      <vt:variant>
        <vt:lpwstr>https://democracy.devon.gov.uk/documents/s44441/Food Insecurity and Response to Household Support.pdf</vt:lpwstr>
      </vt:variant>
      <vt:variant>
        <vt:lpwstr/>
      </vt:variant>
      <vt:variant>
        <vt:i4>1048605</vt:i4>
      </vt:variant>
      <vt:variant>
        <vt:i4>9</vt:i4>
      </vt:variant>
      <vt:variant>
        <vt:i4>0</vt:i4>
      </vt:variant>
      <vt:variant>
        <vt:i4>5</vt:i4>
      </vt:variant>
      <vt:variant>
        <vt:lpwstr>https://www.devonhealthandwellbeing.org.uk/jsna/overview/</vt:lpwstr>
      </vt:variant>
      <vt:variant>
        <vt:lpwstr/>
      </vt:variant>
      <vt:variant>
        <vt:i4>5963853</vt:i4>
      </vt:variant>
      <vt:variant>
        <vt:i4>6</vt:i4>
      </vt:variant>
      <vt:variant>
        <vt:i4>0</vt:i4>
      </vt:variant>
      <vt:variant>
        <vt:i4>5</vt:i4>
      </vt:variant>
      <vt:variant>
        <vt:lpwstr>https://www.devon.gov.uk/children-families-education/child-family-support/young-people/youth-voice-and-participation/</vt:lpwstr>
      </vt:variant>
      <vt:variant>
        <vt:lpwstr/>
      </vt:variant>
      <vt:variant>
        <vt:i4>5046344</vt:i4>
      </vt:variant>
      <vt:variant>
        <vt:i4>3</vt:i4>
      </vt:variant>
      <vt:variant>
        <vt:i4>0</vt:i4>
      </vt:variant>
      <vt:variant>
        <vt:i4>5</vt:i4>
      </vt:variant>
      <vt:variant>
        <vt:lpwstr>https://www.bmj.com/content/388/bmj.r486.full</vt:lpwstr>
      </vt:variant>
      <vt:variant>
        <vt:lpwstr/>
      </vt:variant>
      <vt:variant>
        <vt:i4>7077993</vt:i4>
      </vt:variant>
      <vt:variant>
        <vt:i4>0</vt:i4>
      </vt:variant>
      <vt:variant>
        <vt:i4>0</vt:i4>
      </vt:variant>
      <vt:variant>
        <vt:i4>5</vt:i4>
      </vt:variant>
      <vt:variant>
        <vt:lpwstr>https://nhsrho.org/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Moloney-Lucey</dc:creator>
  <cp:keywords/>
  <dc:description/>
  <cp:lastModifiedBy>Maria Moloney-Lucey</cp:lastModifiedBy>
  <cp:revision>227</cp:revision>
  <dcterms:created xsi:type="dcterms:W3CDTF">2025-10-13T21:57:00Z</dcterms:created>
  <dcterms:modified xsi:type="dcterms:W3CDTF">2025-11-26T10:23:00Z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0x0101005072CBE59306AD47A8B5152E22C04D0D</vt:lpwstr>
  </property>
</Properties>
</file>