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183BE435" w:rsidR="00182774" w:rsidRPr="00494219" w:rsidRDefault="006844A2">
      <w:pPr>
        <w:rPr>
          <w:b/>
          <w:bCs/>
          <w:sz w:val="28"/>
          <w:szCs w:val="28"/>
        </w:rPr>
      </w:pPr>
      <w:r>
        <w:rPr>
          <w:b/>
          <w:bCs/>
          <w:sz w:val="28"/>
          <w:szCs w:val="28"/>
        </w:rPr>
        <w:t>Building Blocks of Health and Wellbeing</w:t>
      </w:r>
      <w:r w:rsidR="005F4167" w:rsidRPr="00494219">
        <w:rPr>
          <w:b/>
          <w:bCs/>
          <w:sz w:val="28"/>
          <w:szCs w:val="28"/>
        </w:rPr>
        <w:t xml:space="preserve"> (2025)</w:t>
      </w:r>
    </w:p>
    <w:p w14:paraId="1D599747" w14:textId="77777777" w:rsidR="00494219" w:rsidRDefault="00494219"/>
    <w:p w14:paraId="12EEDEB0" w14:textId="3CC8554B" w:rsidR="00494219" w:rsidRDefault="00EC4ADE">
      <w:r w:rsidRPr="00EC4ADE">
        <w:t>Building Blocks of Health in the Joint Strategic Needs Assessment (JSNA) explores the foundational determinants that shape lifelong health and wellbeing. These include the physical, social, economic, and environmental conditions that influence health from preconception through to older age. Understanding and strengthening these building blocks</w:t>
      </w:r>
      <w:r>
        <w:t xml:space="preserve">, </w:t>
      </w:r>
      <w:r w:rsidRPr="00EC4ADE">
        <w:t>such as housing, education, income, nutrition, and access to services</w:t>
      </w:r>
      <w:r>
        <w:t xml:space="preserve">, </w:t>
      </w:r>
      <w:r w:rsidRPr="00EC4ADE">
        <w:t>is essential for creating equitable opportunities for individuals and communities to thrive. This chapter highlights how these determinants interact across the life course and identifies areas where system-wide action can improve population health outcomes and reduce inequalities.</w:t>
      </w:r>
    </w:p>
    <w:p w14:paraId="11A51166" w14:textId="77777777" w:rsidR="00EC4ADE" w:rsidRDefault="00EC4ADE">
      <w:pPr>
        <w:rPr>
          <w:b/>
          <w:bCs/>
          <w:sz w:val="28"/>
          <w:szCs w:val="28"/>
        </w:rPr>
      </w:pPr>
    </w:p>
    <w:p w14:paraId="2D94766A" w14:textId="23551AB9" w:rsidR="00B15DD7" w:rsidRPr="00494219" w:rsidRDefault="003E7D20">
      <w:pPr>
        <w:rPr>
          <w:b/>
          <w:bCs/>
          <w:sz w:val="28"/>
          <w:szCs w:val="28"/>
        </w:rPr>
      </w:pPr>
      <w:r w:rsidRPr="00494219">
        <w:rPr>
          <w:b/>
          <w:bCs/>
          <w:sz w:val="28"/>
          <w:szCs w:val="28"/>
        </w:rPr>
        <w:t xml:space="preserve">JSNA Headline Dashboard </w:t>
      </w:r>
      <w:r w:rsidR="00E250D2" w:rsidRPr="00494219">
        <w:rPr>
          <w:b/>
          <w:bCs/>
          <w:sz w:val="28"/>
          <w:szCs w:val="28"/>
        </w:rPr>
        <w:t>Observations</w:t>
      </w:r>
    </w:p>
    <w:p w14:paraId="57553559" w14:textId="77777777" w:rsidR="00687FF3" w:rsidRDefault="00687FF3" w:rsidP="00B15DD7"/>
    <w:p w14:paraId="1D8CB67E" w14:textId="6712CD27" w:rsidR="005E134A" w:rsidRPr="00687FF3" w:rsidRDefault="005E134A" w:rsidP="00B15DD7">
      <w:pPr>
        <w:rPr>
          <w:b/>
          <w:bCs/>
        </w:rPr>
      </w:pPr>
      <w:r w:rsidRPr="00687FF3">
        <w:rPr>
          <w:b/>
          <w:bCs/>
        </w:rPr>
        <w:t>Housing and Healthy Environments</w:t>
      </w:r>
    </w:p>
    <w:p w14:paraId="5AE6E05B" w14:textId="2C18D1B9" w:rsidR="00687FF3" w:rsidRDefault="00097C75" w:rsidP="00B15DD7">
      <w:r>
        <w:t>Secure, affordable, and quality housing is a cornerstone of good health. In Devon, housing affordability and availability are persistent concerns, particularly in rural and coastal areas where demand often outpaces supply. Seasonal housing pressures and second-home ownership further complicate access for local residents. Poor housing conditions, fuel poverty, and homelessness contribute to a range of physical and mental health risks, disproportionately affecting low-income families, young adults, and older people. Addressing housing insecurity is critical to improving health outcomes and reducing inequalities.</w:t>
      </w:r>
      <w:r w:rsidR="50A1567B">
        <w:t xml:space="preserve"> Many homes in Devon are older and less energy efficient, increasing risks of cold-related illness and higher </w:t>
      </w:r>
      <w:proofErr w:type="spellStart"/>
      <w:r w:rsidR="50A1567B">
        <w:t>enery</w:t>
      </w:r>
      <w:proofErr w:type="spellEnd"/>
      <w:r w:rsidR="50A1567B">
        <w:t xml:space="preserve"> costs. </w:t>
      </w:r>
    </w:p>
    <w:p w14:paraId="4A0BAD66" w14:textId="29BC6B3C" w:rsidR="50A1567B" w:rsidRDefault="50A1567B">
      <w:r>
        <w:t>There is also a shortage of affordable and social housing in rural areas, which limits options for people with disabilities and those requiring housing support from adult social care. Addressing housing insecurity and improving housing quality is critical to reducing health inequalities and supporting independence across the life course.</w:t>
      </w:r>
    </w:p>
    <w:p w14:paraId="73E0A31E" w14:textId="77777777" w:rsidR="00097C75" w:rsidRDefault="00097C75" w:rsidP="00B15DD7"/>
    <w:p w14:paraId="46769A95" w14:textId="7AEC6B8C" w:rsidR="005E134A" w:rsidRPr="00687FF3" w:rsidRDefault="005E134A" w:rsidP="00B15DD7">
      <w:pPr>
        <w:rPr>
          <w:b/>
          <w:bCs/>
        </w:rPr>
      </w:pPr>
      <w:r w:rsidRPr="00687FF3">
        <w:rPr>
          <w:b/>
          <w:bCs/>
        </w:rPr>
        <w:t>Income, Employment and Poverty</w:t>
      </w:r>
    </w:p>
    <w:p w14:paraId="6A527C6D" w14:textId="22E1EFF7" w:rsidR="00687FF3" w:rsidRDefault="00202207" w:rsidP="00B15DD7">
      <w:r>
        <w:t>Economic stability underpins many aspects of health. While Devon enjoys relatively low unemployment, many residents face low wages, insecure work, and limited career progression, especially in rural and coastal communities. In-work poverty is a growing concern, exacerbated by rising living costs and limited access to affordable childcare</w:t>
      </w:r>
      <w:r w:rsidR="1C5703C4">
        <w:t xml:space="preserve">, </w:t>
      </w:r>
      <w:r>
        <w:t>transport</w:t>
      </w:r>
      <w:r w:rsidR="23677B4E">
        <w:t xml:space="preserve"> and housing</w:t>
      </w:r>
      <w:r>
        <w:t>. These economic pressures intersect with other determinants, such as digital exclusion and service access, compounding disadvantage and limiting opportunities for health improvement.</w:t>
      </w:r>
    </w:p>
    <w:p w14:paraId="40520945" w14:textId="77777777" w:rsidR="00202207" w:rsidRDefault="00202207" w:rsidP="00B15DD7"/>
    <w:p w14:paraId="3DA98C79" w14:textId="74CED061" w:rsidR="1CAF28B7" w:rsidRDefault="1CAF28B7"/>
    <w:p w14:paraId="44B4FE41" w14:textId="140FE8A7" w:rsidR="005E134A" w:rsidRPr="002034AD" w:rsidRDefault="005E134A" w:rsidP="00B15DD7">
      <w:pPr>
        <w:rPr>
          <w:b/>
          <w:bCs/>
        </w:rPr>
      </w:pPr>
      <w:r w:rsidRPr="002034AD">
        <w:rPr>
          <w:b/>
          <w:bCs/>
        </w:rPr>
        <w:t>Education and Skills</w:t>
      </w:r>
    </w:p>
    <w:p w14:paraId="4314D5D5" w14:textId="73A399D5" w:rsidR="002034AD" w:rsidRDefault="00202207" w:rsidP="00B15DD7">
      <w:r>
        <w:t>Education plays a vital role in shaping life chances and health literacy. Devon’s educational outcomes vary significantly, with some areas experiencing persistent attainment gaps and limited access to further education and training. Early years development and school readiness remain priorities, particularly in communities facing socioeconomic disadvantage. Among young people, NEET rates and barriers to post-16 education are concerning, while adult education and digital skills are increasingly important for employment and navigating health</w:t>
      </w:r>
      <w:r w:rsidR="00944A0D">
        <w:t xml:space="preserve"> and care</w:t>
      </w:r>
      <w:r>
        <w:t xml:space="preserve"> systems.</w:t>
      </w:r>
      <w:r w:rsidR="327AE9DE">
        <w:t xml:space="preserve"> Transport availability and higher costs can exclude educational and skills options for some children and young people living in rural areas. </w:t>
      </w:r>
    </w:p>
    <w:p w14:paraId="12488802" w14:textId="77777777" w:rsidR="00202207" w:rsidRDefault="00202207" w:rsidP="00B15DD7"/>
    <w:p w14:paraId="4FA37674" w14:textId="35CBBC17" w:rsidR="005E134A" w:rsidRPr="002034AD" w:rsidRDefault="005E134A" w:rsidP="00B15DD7">
      <w:pPr>
        <w:rPr>
          <w:b/>
          <w:bCs/>
        </w:rPr>
      </w:pPr>
      <w:r w:rsidRPr="002034AD">
        <w:rPr>
          <w:b/>
          <w:bCs/>
        </w:rPr>
        <w:t>Transport and Connectivity</w:t>
      </w:r>
    </w:p>
    <w:p w14:paraId="70C96B3B" w14:textId="1D8D81CF" w:rsidR="007C35DD" w:rsidRDefault="00944A0D" w:rsidP="00B15DD7">
      <w:r w:rsidRPr="00944A0D">
        <w:t>Transport and connectivity are essential for accessing services, employment, and social networks. Devon’s rural geography presents significant challenges, with limited public transport options contributing to isolation and missed opportunities for care, education, and work. Transport poverty affects low-income households, care-experienced young people, and older adults, and is closely linked to wider inequalities. Improving transport infrastructure and promoting active travel are key to enhancing access and supporting healthier lifestyles.</w:t>
      </w:r>
    </w:p>
    <w:p w14:paraId="468CE3B0" w14:textId="77777777" w:rsidR="007C35DD" w:rsidRDefault="007C35DD" w:rsidP="00B15DD7"/>
    <w:p w14:paraId="24E05CE0" w14:textId="120AE4D1" w:rsidR="005E134A" w:rsidRPr="007C35DD" w:rsidRDefault="005E134A" w:rsidP="00B15DD7">
      <w:pPr>
        <w:rPr>
          <w:b/>
          <w:bCs/>
        </w:rPr>
      </w:pPr>
      <w:r w:rsidRPr="007C35DD">
        <w:rPr>
          <w:b/>
          <w:bCs/>
        </w:rPr>
        <w:t>Digital Inclusion</w:t>
      </w:r>
    </w:p>
    <w:p w14:paraId="08CECB62" w14:textId="694CFCBD" w:rsidR="007C35DD" w:rsidRDefault="00017F44" w:rsidP="00B15DD7">
      <w:r>
        <w:t>Digital inclusion is now a critical determinant of health. Devon’s Digital Exclusion Dashboard highlights disparities in access to devices, connectivity, and digital skills, particularly among older adults, low-income households, and rural communities. Digital exclusion limits access to health information, education, employment, and social connection. VCSE organisations play a vital role in bridging this gap, supported by system-wide innovation and targeted funding.</w:t>
      </w:r>
      <w:r w:rsidR="2F9E91DB">
        <w:t xml:space="preserve"> The Digital Inclusion Devon Programme is central to this effort, providing coordinated action to improve connectivity, skills, and access </w:t>
      </w:r>
      <w:r w:rsidR="3808CB01">
        <w:t xml:space="preserve">for those most at risk. </w:t>
      </w:r>
      <w:r>
        <w:t>Ensuring digital equity is essential for inclusive service delivery and community resilience</w:t>
      </w:r>
      <w:r w:rsidR="43EBEA3D">
        <w:t xml:space="preserve"> alongside expanding the reach and effectiveness of Technology Enabled Care services. </w:t>
      </w:r>
    </w:p>
    <w:p w14:paraId="12288B92" w14:textId="77777777" w:rsidR="00017F44" w:rsidRDefault="00017F44" w:rsidP="00B15DD7"/>
    <w:p w14:paraId="25FB820B" w14:textId="27BC95E2" w:rsidR="005E134A" w:rsidRPr="00067046" w:rsidRDefault="005E134A" w:rsidP="00B15DD7">
      <w:pPr>
        <w:rPr>
          <w:b/>
          <w:bCs/>
        </w:rPr>
      </w:pPr>
      <w:r w:rsidRPr="00067046">
        <w:rPr>
          <w:b/>
          <w:bCs/>
        </w:rPr>
        <w:t>Community and Social Connection</w:t>
      </w:r>
    </w:p>
    <w:p w14:paraId="09021300" w14:textId="6F4E3160" w:rsidR="00067046" w:rsidRDefault="00017F44" w:rsidP="00B15DD7">
      <w:r>
        <w:t>Community and social connection are powerful protective factors for mental wellbeing and overall health. Devon benefits from strong VCSE networks and active community groups, especially in rural areas. However, some communities face significant isolation, particularly older adults and those with limited mobility or transport. Loneliness and social disconnection are linked to poorer health outcomes, and the legacy of COVID-19 continues to shape patterns of social engagement. Supporting community-led initiatives and volunteering can strengthen social cohesion and improve wellbeing.</w:t>
      </w:r>
      <w:r w:rsidR="3E7A4E92">
        <w:t xml:space="preserve"> However, a marked reduction in funding availability for VCSE infrastructure services means there is less support available for grass roots charities and community groups. </w:t>
      </w:r>
    </w:p>
    <w:p w14:paraId="2F54E95B" w14:textId="77777777" w:rsidR="00017F44" w:rsidRDefault="00017F44" w:rsidP="00B15DD7"/>
    <w:p w14:paraId="417C1D5E" w14:textId="5B7DED36" w:rsidR="005E134A" w:rsidRPr="00067046" w:rsidRDefault="005E134A" w:rsidP="00B15DD7">
      <w:pPr>
        <w:rPr>
          <w:b/>
          <w:bCs/>
        </w:rPr>
      </w:pPr>
      <w:r w:rsidRPr="00067046">
        <w:rPr>
          <w:b/>
          <w:bCs/>
        </w:rPr>
        <w:t>Access to services</w:t>
      </w:r>
    </w:p>
    <w:p w14:paraId="112C2A64" w14:textId="6E5CD6C6" w:rsidR="00067046" w:rsidRDefault="00017F44" w:rsidP="00B15DD7">
      <w:r w:rsidRPr="00017F44">
        <w:t>Access to health, care, and support services is a fundamental building block of health. In Devon, geography and workforce challenges affect the reach and responsiveness of services, particularly in rural and coastal areas. Variability in access to GPs, dentists, mental health services, and urgent care contributes to health inequalities. Care-experienced young people and those with complex needs often face barriers to timely and appropriate support. Integrated, place-based approaches are essential to improving service access and ensuring continuity of care.</w:t>
      </w:r>
    </w:p>
    <w:p w14:paraId="330E3697" w14:textId="77777777" w:rsidR="00017F44" w:rsidRDefault="00017F44" w:rsidP="00B15DD7"/>
    <w:p w14:paraId="4DF112ED" w14:textId="2D0AC4C9" w:rsidR="005E134A" w:rsidRPr="00067046" w:rsidRDefault="005E134A" w:rsidP="00B15DD7">
      <w:pPr>
        <w:rPr>
          <w:b/>
          <w:bCs/>
        </w:rPr>
      </w:pPr>
      <w:r w:rsidRPr="00067046">
        <w:rPr>
          <w:b/>
          <w:bCs/>
        </w:rPr>
        <w:t>Environmental determinants</w:t>
      </w:r>
    </w:p>
    <w:p w14:paraId="08B10B75" w14:textId="78594806" w:rsidR="005E134A" w:rsidRDefault="009A65B5" w:rsidP="00B15DD7">
      <w:r>
        <w:t>Environmental determinants, including clean air, green spaces, and climate resilience, are increasingly recognised as central to public health. Devon’s natural environment offers significant protective factors, supporting physical activity, mental wellbeing, and social connection. However, access to nature is uneven, and some communities lack safe, walkable green spaces. Climate change presents growing risks through extreme weather, flooding, and air quality degradation. Embedding environmental sustainability into public health planning is vital for long-term resilience.</w:t>
      </w:r>
      <w:r w:rsidR="3E85AC77">
        <w:t xml:space="preserve"> Evidence from the National Consortium for Societal Resilience [UK+] shows that every £1 invested in proactive local resilience activity can save £7–£8 in subsequent reactive costs, highlighting the value of whole-of-society approaches to preparedness.</w:t>
      </w:r>
    </w:p>
    <w:p w14:paraId="7F882BB9" w14:textId="77777777" w:rsidR="009A65B5" w:rsidRDefault="009A65B5" w:rsidP="00B15DD7"/>
    <w:p w14:paraId="669DF290" w14:textId="50A91821" w:rsidR="00D93214" w:rsidRPr="00AB3EB1" w:rsidRDefault="009A65B5" w:rsidP="00AB3EB1">
      <w:r>
        <w:t>Taken together, these building blocks highlight the importance of system-wide collaboration to address the root causes of poor health and reduce inequalities. Devon’s JSNA provides a framework for understanding these interconnected determinants and identifying opportunities for targeted action</w:t>
      </w:r>
      <w:r w:rsidR="5210DF23">
        <w:t xml:space="preserve"> and systemic proofing across the four dimensions of inequalities: protected characteristics, socio-economic deprivation, inclusion health, and rural and urban areas</w:t>
      </w:r>
      <w:r>
        <w:t>. Strengthening the foundations of health, through place-based approaches, data-driven insights, and cross-sector partnerships, is essential for creating equitable, healthy communities across Devon.</w:t>
      </w:r>
    </w:p>
    <w:p w14:paraId="11C95896" w14:textId="77777777" w:rsidR="00B15DD7" w:rsidRDefault="00B15DD7">
      <w:pPr>
        <w:rPr>
          <w:sz w:val="28"/>
          <w:szCs w:val="28"/>
        </w:rPr>
      </w:pPr>
    </w:p>
    <w:p w14:paraId="65AE803D" w14:textId="77777777" w:rsidR="00D70F6F" w:rsidRDefault="00D70F6F">
      <w:pPr>
        <w:rPr>
          <w:b/>
          <w:bCs/>
          <w:sz w:val="28"/>
          <w:szCs w:val="28"/>
        </w:rPr>
      </w:pPr>
      <w:r>
        <w:rPr>
          <w:b/>
          <w:bCs/>
          <w:sz w:val="28"/>
          <w:szCs w:val="28"/>
        </w:rPr>
        <w:br w:type="page"/>
      </w:r>
    </w:p>
    <w:p w14:paraId="17FDFCD8" w14:textId="77777777" w:rsidR="00BF3737" w:rsidRDefault="00BF3737">
      <w:pPr>
        <w:rPr>
          <w:b/>
          <w:bCs/>
          <w:sz w:val="28"/>
          <w:szCs w:val="28"/>
        </w:rPr>
      </w:pPr>
    </w:p>
    <w:p w14:paraId="5E91AF48" w14:textId="6C1FC3B7" w:rsidR="00C96177" w:rsidRDefault="00C96177">
      <w:pPr>
        <w:rPr>
          <w:b/>
          <w:bCs/>
          <w:sz w:val="28"/>
          <w:szCs w:val="28"/>
        </w:rPr>
      </w:pPr>
      <w:r>
        <w:rPr>
          <w:b/>
          <w:bCs/>
          <w:sz w:val="28"/>
          <w:szCs w:val="28"/>
        </w:rPr>
        <w:t xml:space="preserve">Local Insights, Lived Experience and Research: </w:t>
      </w:r>
      <w:r w:rsidR="00823F50">
        <w:rPr>
          <w:b/>
          <w:bCs/>
          <w:sz w:val="28"/>
          <w:szCs w:val="28"/>
        </w:rPr>
        <w:t>Building Blocks of Health and Wellbeing</w:t>
      </w:r>
    </w:p>
    <w:p w14:paraId="0AEE832C" w14:textId="77777777" w:rsidR="00BF3737" w:rsidRDefault="00BF3737">
      <w:pPr>
        <w:rPr>
          <w:sz w:val="28"/>
          <w:szCs w:val="28"/>
        </w:rPr>
      </w:pPr>
    </w:p>
    <w:p w14:paraId="4D96C1B9" w14:textId="77777777" w:rsidR="00801C33" w:rsidRPr="00801C33" w:rsidRDefault="00801C33" w:rsidP="00801C33">
      <w:pPr>
        <w:rPr>
          <w:rFonts w:cstheme="minorHAnsi"/>
        </w:rPr>
      </w:pPr>
      <w:r w:rsidRPr="00801C33">
        <w:rPr>
          <w:rFonts w:ascii="Segoe UI Emoji" w:hAnsi="Segoe UI Emoji" w:cs="Segoe UI Emoji"/>
        </w:rPr>
        <w:t>🏘️</w:t>
      </w:r>
      <w:r w:rsidRPr="00801C33">
        <w:rPr>
          <w:rFonts w:cstheme="minorHAnsi"/>
        </w:rPr>
        <w:t xml:space="preserve"> </w:t>
      </w:r>
      <w:r w:rsidRPr="00801C33">
        <w:rPr>
          <w:rFonts w:cstheme="minorHAnsi"/>
          <w:b/>
          <w:bCs/>
          <w:sz w:val="28"/>
          <w:szCs w:val="28"/>
        </w:rPr>
        <w:t>1. Housing Insecurity</w:t>
      </w:r>
    </w:p>
    <w:p w14:paraId="2B92A2A3" w14:textId="77777777" w:rsidR="00801C33" w:rsidRPr="00801C33" w:rsidRDefault="00801C33" w:rsidP="00801C33">
      <w:pPr>
        <w:rPr>
          <w:rFonts w:cstheme="minorHAnsi"/>
        </w:rPr>
      </w:pPr>
      <w:r w:rsidRPr="00801C33">
        <w:rPr>
          <w:rFonts w:cstheme="minorHAnsi"/>
        </w:rPr>
        <w:t>Insight Questions:</w:t>
      </w:r>
    </w:p>
    <w:p w14:paraId="3376052E" w14:textId="77777777" w:rsidR="00801C33" w:rsidRPr="00801C33" w:rsidRDefault="00801C33" w:rsidP="00801C33">
      <w:pPr>
        <w:rPr>
          <w:rFonts w:cstheme="minorHAnsi"/>
        </w:rPr>
      </w:pPr>
      <w:r w:rsidRPr="00801C33">
        <w:rPr>
          <w:rFonts w:cstheme="minorHAnsi"/>
        </w:rPr>
        <w:t>• What are the lived experiences of housing insecurity in Devon?</w:t>
      </w:r>
    </w:p>
    <w:p w14:paraId="51B197DE" w14:textId="5B48DC14" w:rsidR="00801C33" w:rsidRPr="00801C33" w:rsidRDefault="00801C33" w:rsidP="1CAF28B7">
      <w:pPr>
        <w:rPr>
          <w:rFonts w:ascii="Segoe UI" w:eastAsia="Segoe UI" w:hAnsi="Segoe UI" w:cs="Segoe UI"/>
          <w:color w:val="333333"/>
        </w:rPr>
      </w:pPr>
      <w:r w:rsidRPr="1CAF28B7">
        <w:rPr>
          <w:b/>
          <w:bCs/>
        </w:rPr>
        <w:t>Sources:</w:t>
      </w:r>
      <w:r w:rsidR="007911A9">
        <w:t xml:space="preserve"> </w:t>
      </w:r>
      <w:hyperlink r:id="rId10">
        <w:r w:rsidR="007911A9" w:rsidRPr="1CAF28B7">
          <w:rPr>
            <w:rStyle w:val="Hyperlink"/>
          </w:rPr>
          <w:t>Devon Communities Together</w:t>
        </w:r>
      </w:hyperlink>
      <w:r w:rsidR="007911A9">
        <w:t xml:space="preserve">, </w:t>
      </w:r>
      <w:hyperlink r:id="rId11">
        <w:r w:rsidR="007911A9" w:rsidRPr="1CAF28B7">
          <w:rPr>
            <w:rStyle w:val="Hyperlink"/>
          </w:rPr>
          <w:t>Devon JSNA</w:t>
        </w:r>
      </w:hyperlink>
      <w:r w:rsidR="007911A9">
        <w:t xml:space="preserve">,  </w:t>
      </w:r>
      <w:hyperlink r:id="rId12">
        <w:r w:rsidR="007911A9" w:rsidRPr="1CAF28B7">
          <w:rPr>
            <w:rStyle w:val="Hyperlink"/>
          </w:rPr>
          <w:t>Annual Public Health Reports</w:t>
        </w:r>
        <w:r w:rsidR="2A258F02" w:rsidRPr="1CAF28B7">
          <w:rPr>
            <w:rStyle w:val="Hyperlink"/>
          </w:rPr>
          <w:t>,</w:t>
        </w:r>
      </w:hyperlink>
      <w:r w:rsidR="2A258F02">
        <w:t xml:space="preserve"> </w:t>
      </w:r>
      <w:hyperlink r:id="rId13">
        <w:r w:rsidR="2A258F02" w:rsidRPr="1CAF28B7">
          <w:rPr>
            <w:rStyle w:val="Hyperlink"/>
            <w:rFonts w:eastAsiaTheme="minorEastAsia"/>
          </w:rPr>
          <w:t>Devon Housing Commission Report</w:t>
        </w:r>
      </w:hyperlink>
    </w:p>
    <w:p w14:paraId="438BE9BC" w14:textId="34D19BC4" w:rsidR="00801C33" w:rsidRPr="00801C33" w:rsidRDefault="00801C33" w:rsidP="007911A9">
      <w:pPr>
        <w:rPr>
          <w:rFonts w:cstheme="minorHAnsi"/>
        </w:rPr>
      </w:pPr>
      <w:r w:rsidRPr="007911A9">
        <w:rPr>
          <w:rFonts w:cstheme="minorHAnsi"/>
          <w:b/>
          <w:bCs/>
        </w:rPr>
        <w:t>Insight:</w:t>
      </w:r>
      <w:r w:rsidR="007911A9">
        <w:rPr>
          <w:rFonts w:cstheme="minorHAnsi"/>
          <w:b/>
          <w:bCs/>
        </w:rPr>
        <w:t xml:space="preserve"> </w:t>
      </w:r>
      <w:r w:rsidRPr="00801C33">
        <w:rPr>
          <w:rFonts w:cstheme="minorHAnsi"/>
        </w:rPr>
        <w:t>Housing affordability is a major concern, especially in rural and coastal areas. Seasonal housing pressures and second-home ownership reduce availability for local residents. Poor housing conditions and fuel poverty are linked to respiratory illness and mental health issues. Community engagement reveals renters and younger people are underrepresented in housing consultations, limiting visibility of their needs in policy development.</w:t>
      </w:r>
    </w:p>
    <w:p w14:paraId="6992A417" w14:textId="77777777" w:rsidR="00801C33" w:rsidRPr="00801C33" w:rsidRDefault="00801C33" w:rsidP="00801C33">
      <w:pPr>
        <w:rPr>
          <w:rFonts w:cstheme="minorHAnsi"/>
        </w:rPr>
      </w:pPr>
    </w:p>
    <w:p w14:paraId="39ADFB8B" w14:textId="77777777" w:rsidR="00801C33" w:rsidRPr="007911A9" w:rsidRDefault="00801C33" w:rsidP="00801C33">
      <w:pPr>
        <w:rPr>
          <w:rFonts w:cstheme="minorHAnsi"/>
          <w:b/>
          <w:bCs/>
          <w:sz w:val="28"/>
          <w:szCs w:val="28"/>
        </w:rPr>
      </w:pPr>
      <w:r w:rsidRPr="007911A9">
        <w:rPr>
          <w:rFonts w:ascii="Segoe UI Emoji" w:hAnsi="Segoe UI Emoji" w:cs="Segoe UI Emoji"/>
          <w:b/>
          <w:bCs/>
          <w:sz w:val="28"/>
          <w:szCs w:val="28"/>
        </w:rPr>
        <w:t>💷</w:t>
      </w:r>
      <w:r w:rsidRPr="007911A9">
        <w:rPr>
          <w:rFonts w:cstheme="minorHAnsi"/>
          <w:b/>
          <w:bCs/>
          <w:sz w:val="28"/>
          <w:szCs w:val="28"/>
        </w:rPr>
        <w:t xml:space="preserve"> 2. Economic Insecurity</w:t>
      </w:r>
    </w:p>
    <w:p w14:paraId="6297E0A1" w14:textId="77777777" w:rsidR="00801C33" w:rsidRPr="00801C33" w:rsidRDefault="00801C33" w:rsidP="00801C33">
      <w:pPr>
        <w:rPr>
          <w:rFonts w:cstheme="minorHAnsi"/>
        </w:rPr>
      </w:pPr>
      <w:r w:rsidRPr="00801C33">
        <w:rPr>
          <w:rFonts w:cstheme="minorHAnsi"/>
        </w:rPr>
        <w:t>Insight Questions:</w:t>
      </w:r>
    </w:p>
    <w:p w14:paraId="77917838" w14:textId="77777777" w:rsidR="00801C33" w:rsidRPr="00801C33" w:rsidRDefault="00801C33" w:rsidP="00801C33">
      <w:pPr>
        <w:rPr>
          <w:rFonts w:cstheme="minorHAnsi"/>
        </w:rPr>
      </w:pPr>
      <w:r w:rsidRPr="00801C33">
        <w:rPr>
          <w:rFonts w:cstheme="minorHAnsi"/>
        </w:rPr>
        <w:t>• How does economic insecurity affect health and wellbeing in Devon?</w:t>
      </w:r>
    </w:p>
    <w:p w14:paraId="22BE0697" w14:textId="643B5635" w:rsidR="00801C33" w:rsidRPr="00801C33" w:rsidRDefault="00801C33" w:rsidP="004443A1">
      <w:pPr>
        <w:rPr>
          <w:rFonts w:cstheme="minorHAnsi"/>
        </w:rPr>
      </w:pPr>
      <w:r w:rsidRPr="00801C33">
        <w:rPr>
          <w:rFonts w:cstheme="minorHAnsi"/>
        </w:rPr>
        <w:t>Sources:</w:t>
      </w:r>
      <w:r w:rsidR="004443A1">
        <w:rPr>
          <w:rFonts w:cstheme="minorHAnsi"/>
        </w:rPr>
        <w:t xml:space="preserve"> </w:t>
      </w:r>
      <w:hyperlink r:id="rId14" w:tgtFrame="_blank" w:history="1">
        <w:r w:rsidR="004443A1" w:rsidRPr="004443A1">
          <w:rPr>
            <w:rStyle w:val="Hyperlink"/>
            <w:rFonts w:cstheme="minorHAnsi"/>
          </w:rPr>
          <w:t>Devon 10-Year Health Plan Engagement Findings</w:t>
        </w:r>
      </w:hyperlink>
      <w:r w:rsidR="004443A1">
        <w:rPr>
          <w:rFonts w:cstheme="minorHAnsi"/>
        </w:rPr>
        <w:t>,</w:t>
      </w:r>
      <w:r w:rsidR="004443A1" w:rsidRPr="004443A1">
        <w:rPr>
          <w:rFonts w:cstheme="minorHAnsi"/>
        </w:rPr>
        <w:t xml:space="preserve">  </w:t>
      </w:r>
      <w:hyperlink r:id="rId15" w:tgtFrame="_blank" w:history="1">
        <w:r w:rsidR="004443A1" w:rsidRPr="004443A1">
          <w:rPr>
            <w:rStyle w:val="Hyperlink"/>
            <w:rFonts w:cstheme="minorHAnsi"/>
          </w:rPr>
          <w:t>Devon Community Foundation – State of the Sector</w:t>
        </w:r>
      </w:hyperlink>
      <w:r w:rsidR="004443A1">
        <w:rPr>
          <w:rFonts w:cstheme="minorHAnsi"/>
        </w:rPr>
        <w:t>,</w:t>
      </w:r>
      <w:r w:rsidR="004443A1" w:rsidRPr="004443A1">
        <w:rPr>
          <w:rFonts w:cstheme="minorHAnsi"/>
        </w:rPr>
        <w:t xml:space="preserve"> </w:t>
      </w:r>
      <w:hyperlink r:id="rId16" w:tgtFrame="_blank" w:history="1">
        <w:r w:rsidR="004443A1" w:rsidRPr="004443A1">
          <w:rPr>
            <w:rStyle w:val="Hyperlink"/>
            <w:rFonts w:cstheme="minorHAnsi"/>
          </w:rPr>
          <w:t>Annual Public Health Reports</w:t>
        </w:r>
      </w:hyperlink>
    </w:p>
    <w:p w14:paraId="4BBE5CBD" w14:textId="52D4DE4D" w:rsidR="00801C33" w:rsidRPr="00801C33" w:rsidRDefault="00801C33" w:rsidP="004443A1">
      <w:pPr>
        <w:rPr>
          <w:rFonts w:cstheme="minorHAnsi"/>
        </w:rPr>
      </w:pPr>
      <w:r w:rsidRPr="004443A1">
        <w:rPr>
          <w:rFonts w:cstheme="minorHAnsi"/>
          <w:b/>
          <w:bCs/>
        </w:rPr>
        <w:t>Insight:</w:t>
      </w:r>
      <w:r w:rsidR="004443A1">
        <w:rPr>
          <w:rFonts w:cstheme="minorHAnsi"/>
          <w:b/>
          <w:bCs/>
        </w:rPr>
        <w:t xml:space="preserve"> </w:t>
      </w:r>
      <w:r w:rsidRPr="00801C33">
        <w:rPr>
          <w:rFonts w:cstheme="minorHAnsi"/>
        </w:rPr>
        <w:t>In-work poverty and low wages are common, particularly in seasonal and rural employment. VCSE organisations report that many residents are prioritising survival over wellbeing, with limited financial reserves and rising demand for support. Economic stress is linked to poor mental health, reduced access to healthy food, and limited participation in community life.</w:t>
      </w:r>
    </w:p>
    <w:p w14:paraId="60F8AE4D" w14:textId="77777777" w:rsidR="00801C33" w:rsidRPr="00801C33" w:rsidRDefault="00801C33" w:rsidP="00801C33">
      <w:pPr>
        <w:rPr>
          <w:rFonts w:cstheme="minorHAnsi"/>
        </w:rPr>
      </w:pPr>
    </w:p>
    <w:p w14:paraId="3F43B28A" w14:textId="77777777" w:rsidR="00801C33" w:rsidRPr="004443A1" w:rsidRDefault="00801C33" w:rsidP="00801C33">
      <w:pPr>
        <w:rPr>
          <w:rFonts w:cstheme="minorHAnsi"/>
          <w:b/>
          <w:bCs/>
          <w:sz w:val="28"/>
          <w:szCs w:val="28"/>
        </w:rPr>
      </w:pPr>
      <w:r w:rsidRPr="004443A1">
        <w:rPr>
          <w:rFonts w:ascii="Segoe UI Emoji" w:hAnsi="Segoe UI Emoji" w:cs="Segoe UI Emoji"/>
          <w:b/>
          <w:bCs/>
          <w:sz w:val="28"/>
          <w:szCs w:val="28"/>
        </w:rPr>
        <w:t>📚</w:t>
      </w:r>
      <w:r w:rsidRPr="004443A1">
        <w:rPr>
          <w:rFonts w:cstheme="minorHAnsi"/>
          <w:b/>
          <w:bCs/>
          <w:sz w:val="28"/>
          <w:szCs w:val="28"/>
        </w:rPr>
        <w:t xml:space="preserve"> 3. Education and Skills Development</w:t>
      </w:r>
    </w:p>
    <w:p w14:paraId="2325278F" w14:textId="77777777" w:rsidR="00801C33" w:rsidRPr="00801C33" w:rsidRDefault="00801C33" w:rsidP="00801C33">
      <w:pPr>
        <w:rPr>
          <w:rFonts w:cstheme="minorHAnsi"/>
        </w:rPr>
      </w:pPr>
      <w:r w:rsidRPr="00801C33">
        <w:rPr>
          <w:rFonts w:cstheme="minorHAnsi"/>
        </w:rPr>
        <w:t>Insight Questions:</w:t>
      </w:r>
    </w:p>
    <w:p w14:paraId="636B611A" w14:textId="77777777" w:rsidR="00801C33" w:rsidRPr="00801C33" w:rsidRDefault="00801C33" w:rsidP="00801C33">
      <w:pPr>
        <w:rPr>
          <w:rFonts w:cstheme="minorHAnsi"/>
        </w:rPr>
      </w:pPr>
      <w:r w:rsidRPr="00801C33">
        <w:rPr>
          <w:rFonts w:cstheme="minorHAnsi"/>
        </w:rPr>
        <w:t>• What are the barriers to education and skills development?</w:t>
      </w:r>
    </w:p>
    <w:p w14:paraId="29791F94" w14:textId="29B271C5" w:rsidR="00801C33" w:rsidRPr="00801C33" w:rsidRDefault="00801C33" w:rsidP="00C83296">
      <w:pPr>
        <w:rPr>
          <w:rFonts w:cstheme="minorHAnsi"/>
        </w:rPr>
      </w:pPr>
      <w:r w:rsidRPr="00801C33">
        <w:rPr>
          <w:rFonts w:cstheme="minorHAnsi"/>
        </w:rPr>
        <w:t>Sources:</w:t>
      </w:r>
      <w:r w:rsidR="00C83296">
        <w:rPr>
          <w:rFonts w:cstheme="minorHAnsi"/>
        </w:rPr>
        <w:t xml:space="preserve"> </w:t>
      </w:r>
      <w:hyperlink r:id="rId17" w:tgtFrame="_blank" w:history="1">
        <w:r w:rsidR="00C83296" w:rsidRPr="00C83296">
          <w:rPr>
            <w:rStyle w:val="Hyperlink"/>
            <w:rFonts w:cstheme="minorHAnsi"/>
          </w:rPr>
          <w:t>Devon JSNA</w:t>
        </w:r>
      </w:hyperlink>
      <w:r w:rsidR="00C83296">
        <w:rPr>
          <w:rFonts w:cstheme="minorHAnsi"/>
        </w:rPr>
        <w:t xml:space="preserve">, </w:t>
      </w:r>
      <w:hyperlink r:id="rId18" w:tgtFrame="_blank" w:history="1">
        <w:r w:rsidR="00C83296" w:rsidRPr="00C83296">
          <w:rPr>
            <w:rStyle w:val="Hyperlink"/>
            <w:rFonts w:cstheme="minorHAnsi"/>
          </w:rPr>
          <w:t>Devon Communities Together Impact Reports</w:t>
        </w:r>
      </w:hyperlink>
      <w:r w:rsidR="00C83296">
        <w:rPr>
          <w:rFonts w:cstheme="minorHAnsi"/>
        </w:rPr>
        <w:t xml:space="preserve">, </w:t>
      </w:r>
      <w:hyperlink r:id="rId19" w:tgtFrame="_blank" w:history="1">
        <w:r w:rsidR="00C83296" w:rsidRPr="00C83296">
          <w:rPr>
            <w:rStyle w:val="Hyperlink"/>
            <w:rFonts w:cstheme="minorHAnsi"/>
          </w:rPr>
          <w:t>VCSE Health Inequalities Hub</w:t>
        </w:r>
      </w:hyperlink>
    </w:p>
    <w:p w14:paraId="060E8D2E" w14:textId="3D26E1F2" w:rsidR="00801C33" w:rsidRPr="00801C33" w:rsidRDefault="00801C33" w:rsidP="231BE413">
      <w:r w:rsidRPr="1CAF28B7">
        <w:rPr>
          <w:b/>
          <w:bCs/>
        </w:rPr>
        <w:t>Insight:</w:t>
      </w:r>
      <w:r w:rsidR="00123AD1" w:rsidRPr="1CAF28B7">
        <w:rPr>
          <w:b/>
          <w:bCs/>
        </w:rPr>
        <w:t xml:space="preserve"> </w:t>
      </w:r>
      <w:r>
        <w:t xml:space="preserve">Educational attainment varies across districts, with persistent gaps in early years development and post-16 education access. Digital literacy and access to adult learning are key challenges, particularly in rural areas. VCSE partners highlight the need for </w:t>
      </w:r>
      <w:r w:rsidR="502EFDFF">
        <w:t xml:space="preserve">systemic </w:t>
      </w:r>
      <w:r>
        <w:t>“rural proofing” of education services and better integration with health and wellbeing initiatives.</w:t>
      </w:r>
    </w:p>
    <w:p w14:paraId="0C45103E" w14:textId="77777777" w:rsidR="00801C33" w:rsidRPr="00C83296" w:rsidRDefault="00801C33" w:rsidP="00801C33">
      <w:pPr>
        <w:rPr>
          <w:rFonts w:cstheme="minorHAnsi"/>
          <w:b/>
          <w:bCs/>
          <w:sz w:val="28"/>
          <w:szCs w:val="28"/>
        </w:rPr>
      </w:pPr>
      <w:r w:rsidRPr="00C83296">
        <w:rPr>
          <w:rFonts w:ascii="Segoe UI Emoji" w:hAnsi="Segoe UI Emoji" w:cs="Segoe UI Emoji"/>
          <w:b/>
          <w:bCs/>
          <w:sz w:val="28"/>
          <w:szCs w:val="28"/>
        </w:rPr>
        <w:t>🚍</w:t>
      </w:r>
      <w:r w:rsidRPr="00C83296">
        <w:rPr>
          <w:rFonts w:cstheme="minorHAnsi"/>
          <w:b/>
          <w:bCs/>
          <w:sz w:val="28"/>
          <w:szCs w:val="28"/>
        </w:rPr>
        <w:t xml:space="preserve"> 4. Transport Poverty</w:t>
      </w:r>
    </w:p>
    <w:p w14:paraId="508CD1BF" w14:textId="77777777" w:rsidR="00801C33" w:rsidRPr="00801C33" w:rsidRDefault="00801C33" w:rsidP="00801C33">
      <w:pPr>
        <w:rPr>
          <w:rFonts w:cstheme="minorHAnsi"/>
        </w:rPr>
      </w:pPr>
      <w:r w:rsidRPr="00801C33">
        <w:rPr>
          <w:rFonts w:cstheme="minorHAnsi"/>
        </w:rPr>
        <w:t>Insight Questions:</w:t>
      </w:r>
    </w:p>
    <w:p w14:paraId="45576135" w14:textId="77777777" w:rsidR="00801C33" w:rsidRPr="00801C33" w:rsidRDefault="00801C33" w:rsidP="00801C33">
      <w:pPr>
        <w:rPr>
          <w:rFonts w:cstheme="minorHAnsi"/>
        </w:rPr>
      </w:pPr>
      <w:r w:rsidRPr="00801C33">
        <w:rPr>
          <w:rFonts w:cstheme="minorHAnsi"/>
        </w:rPr>
        <w:t>• How does transport poverty impact access to services and social connection?</w:t>
      </w:r>
    </w:p>
    <w:p w14:paraId="4438F968" w14:textId="79DA0206" w:rsidR="00801C33" w:rsidRPr="00801C33" w:rsidRDefault="00801C33" w:rsidP="00123AD1">
      <w:pPr>
        <w:rPr>
          <w:rFonts w:cstheme="minorHAnsi"/>
        </w:rPr>
      </w:pPr>
      <w:r w:rsidRPr="00801C33">
        <w:rPr>
          <w:rFonts w:cstheme="minorHAnsi"/>
        </w:rPr>
        <w:t>Sources:</w:t>
      </w:r>
      <w:r w:rsidR="00123AD1">
        <w:rPr>
          <w:rFonts w:cstheme="minorHAnsi"/>
        </w:rPr>
        <w:t xml:space="preserve"> </w:t>
      </w:r>
      <w:hyperlink r:id="rId20" w:tgtFrame="_blank" w:history="1">
        <w:r w:rsidR="00123AD1" w:rsidRPr="00123AD1">
          <w:rPr>
            <w:rStyle w:val="Hyperlink"/>
            <w:rFonts w:cstheme="minorHAnsi"/>
          </w:rPr>
          <w:t>Devon Health Inequalities Strategy</w:t>
        </w:r>
      </w:hyperlink>
      <w:r w:rsidR="00123AD1">
        <w:rPr>
          <w:rFonts w:cstheme="minorHAnsi"/>
        </w:rPr>
        <w:t xml:space="preserve">, </w:t>
      </w:r>
      <w:hyperlink r:id="rId21" w:tgtFrame="_blank" w:history="1">
        <w:r w:rsidR="00123AD1" w:rsidRPr="00123AD1">
          <w:rPr>
            <w:rStyle w:val="Hyperlink"/>
            <w:rFonts w:cstheme="minorHAnsi"/>
          </w:rPr>
          <w:t>Kings Fund Rural Health Programme</w:t>
        </w:r>
      </w:hyperlink>
      <w:r w:rsidR="00123AD1">
        <w:rPr>
          <w:rFonts w:cstheme="minorHAnsi"/>
        </w:rPr>
        <w:t xml:space="preserve">, </w:t>
      </w:r>
      <w:hyperlink r:id="rId22" w:tgtFrame="_blank" w:history="1">
        <w:r w:rsidR="00123AD1" w:rsidRPr="00123AD1">
          <w:rPr>
            <w:rStyle w:val="Hyperlink"/>
            <w:rFonts w:cstheme="minorHAnsi"/>
          </w:rPr>
          <w:t>Devon JSNA</w:t>
        </w:r>
      </w:hyperlink>
    </w:p>
    <w:p w14:paraId="66634FD6" w14:textId="43F32505" w:rsidR="00801C33" w:rsidRPr="00801C33" w:rsidRDefault="00801C33" w:rsidP="00123AD1">
      <w:pPr>
        <w:rPr>
          <w:rFonts w:cstheme="minorHAnsi"/>
        </w:rPr>
      </w:pPr>
      <w:r w:rsidRPr="00123AD1">
        <w:rPr>
          <w:rFonts w:cstheme="minorHAnsi"/>
          <w:b/>
          <w:bCs/>
        </w:rPr>
        <w:t>Insight:</w:t>
      </w:r>
      <w:r w:rsidR="00123AD1">
        <w:rPr>
          <w:rFonts w:cstheme="minorHAnsi"/>
          <w:b/>
          <w:bCs/>
        </w:rPr>
        <w:t xml:space="preserve"> </w:t>
      </w:r>
      <w:r w:rsidRPr="00801C33">
        <w:rPr>
          <w:rFonts w:cstheme="minorHAnsi"/>
        </w:rPr>
        <w:t>Limited public transport in rural areas restricts access to healthcare, education, and employment. Transport poverty disproportionately affects older adults, care-experienced young people, and low-income households. VCSE-led initiatives have made the case for including rurality in equality impact assessments, recognising transport as a key barrier to health equity.</w:t>
      </w:r>
    </w:p>
    <w:p w14:paraId="0AFAB789" w14:textId="77777777" w:rsidR="00801C33" w:rsidRPr="00801C33" w:rsidRDefault="00801C33" w:rsidP="00801C33">
      <w:pPr>
        <w:rPr>
          <w:rFonts w:cstheme="minorHAnsi"/>
        </w:rPr>
      </w:pPr>
    </w:p>
    <w:p w14:paraId="4F5FC0BC" w14:textId="77777777" w:rsidR="00801C33" w:rsidRPr="00123AD1" w:rsidRDefault="00801C33" w:rsidP="00801C33">
      <w:pPr>
        <w:rPr>
          <w:rFonts w:cstheme="minorHAnsi"/>
          <w:b/>
          <w:bCs/>
          <w:sz w:val="28"/>
          <w:szCs w:val="28"/>
          <w:lang w:val="fr-FR"/>
        </w:rPr>
      </w:pPr>
      <w:r w:rsidRPr="00123AD1">
        <w:rPr>
          <w:rFonts w:ascii="Segoe UI Emoji" w:hAnsi="Segoe UI Emoji" w:cs="Segoe UI Emoji"/>
          <w:b/>
          <w:bCs/>
          <w:sz w:val="28"/>
          <w:szCs w:val="28"/>
        </w:rPr>
        <w:t>💻</w:t>
      </w:r>
      <w:r w:rsidRPr="00123AD1">
        <w:rPr>
          <w:rFonts w:cstheme="minorHAnsi"/>
          <w:b/>
          <w:bCs/>
          <w:sz w:val="28"/>
          <w:szCs w:val="28"/>
          <w:lang w:val="fr-FR"/>
        </w:rPr>
        <w:t xml:space="preserve"> 5. Digital Exclusion</w:t>
      </w:r>
    </w:p>
    <w:p w14:paraId="2771CE74" w14:textId="77777777" w:rsidR="00801C33" w:rsidRPr="00801C33" w:rsidRDefault="00801C33" w:rsidP="00801C33">
      <w:pPr>
        <w:rPr>
          <w:rFonts w:cstheme="minorHAnsi"/>
          <w:lang w:val="fr-FR"/>
        </w:rPr>
      </w:pPr>
      <w:r w:rsidRPr="00801C33">
        <w:rPr>
          <w:rFonts w:cstheme="minorHAnsi"/>
          <w:lang w:val="fr-FR"/>
        </w:rPr>
        <w:t>Insight Questions:</w:t>
      </w:r>
    </w:p>
    <w:p w14:paraId="540A1008" w14:textId="77777777" w:rsidR="00801C33" w:rsidRPr="00801C33" w:rsidRDefault="00801C33" w:rsidP="00801C33">
      <w:pPr>
        <w:rPr>
          <w:rFonts w:cstheme="minorHAnsi"/>
        </w:rPr>
      </w:pPr>
      <w:r w:rsidRPr="00801C33">
        <w:rPr>
          <w:rFonts w:cstheme="minorHAnsi"/>
        </w:rPr>
        <w:t>• What does digital exclusion look like in Devon communities?</w:t>
      </w:r>
    </w:p>
    <w:p w14:paraId="2115DF38" w14:textId="79D28B63" w:rsidR="00801C33" w:rsidRPr="00801C33" w:rsidRDefault="00801C33" w:rsidP="00633327">
      <w:pPr>
        <w:rPr>
          <w:rFonts w:cstheme="minorHAnsi"/>
        </w:rPr>
      </w:pPr>
      <w:r w:rsidRPr="00801C33">
        <w:rPr>
          <w:rFonts w:cstheme="minorHAnsi"/>
        </w:rPr>
        <w:t>Sources:</w:t>
      </w:r>
      <w:r w:rsidR="00123AD1">
        <w:rPr>
          <w:rFonts w:cstheme="minorHAnsi"/>
        </w:rPr>
        <w:t xml:space="preserve"> </w:t>
      </w:r>
      <w:hyperlink r:id="rId23" w:tgtFrame="_blank" w:history="1">
        <w:r w:rsidR="00633327" w:rsidRPr="00633327">
          <w:rPr>
            <w:rStyle w:val="Hyperlink"/>
            <w:rFonts w:cstheme="minorHAnsi"/>
          </w:rPr>
          <w:t>Digital Exclusion Dashboard – Public Health Devon</w:t>
        </w:r>
      </w:hyperlink>
      <w:r w:rsidR="00633327">
        <w:rPr>
          <w:rFonts w:cstheme="minorHAnsi"/>
        </w:rPr>
        <w:t xml:space="preserve">, </w:t>
      </w:r>
      <w:hyperlink r:id="rId24" w:tgtFrame="_blank" w:history="1">
        <w:r w:rsidR="00633327" w:rsidRPr="00633327">
          <w:rPr>
            <w:rStyle w:val="Hyperlink"/>
            <w:rFonts w:cstheme="minorHAnsi"/>
          </w:rPr>
          <w:t>Devon Communities Together</w:t>
        </w:r>
      </w:hyperlink>
    </w:p>
    <w:p w14:paraId="6B388BFE" w14:textId="64271A5A" w:rsidR="00801C33" w:rsidRPr="00801C33" w:rsidRDefault="00801C33" w:rsidP="231BE413">
      <w:r w:rsidRPr="1CAF28B7">
        <w:rPr>
          <w:b/>
          <w:bCs/>
        </w:rPr>
        <w:t>Insight:</w:t>
      </w:r>
      <w:r w:rsidR="00123AD1" w:rsidRPr="1CAF28B7">
        <w:rPr>
          <w:b/>
          <w:bCs/>
        </w:rPr>
        <w:t xml:space="preserve"> </w:t>
      </w:r>
      <w:r>
        <w:t>Digital exclusion is prevalent among older adults, low-income families, and rural communities. Lack of access to devices, connectivity,</w:t>
      </w:r>
      <w:r w:rsidR="7DB0E736">
        <w:t xml:space="preserve"> data poverty</w:t>
      </w:r>
      <w:r>
        <w:t xml:space="preserve"> and digital skills limits engagement with health services, education, and employment. VCSE organisations are actively working to bridge this gap, but many community groups still lack the language and tools to link digital access with health outcomes.</w:t>
      </w:r>
    </w:p>
    <w:p w14:paraId="735F8489" w14:textId="77777777" w:rsidR="00801C33" w:rsidRPr="00801C33" w:rsidRDefault="00801C33" w:rsidP="00801C33">
      <w:pPr>
        <w:rPr>
          <w:rFonts w:cstheme="minorHAnsi"/>
        </w:rPr>
      </w:pPr>
    </w:p>
    <w:p w14:paraId="326C5FF3" w14:textId="77777777" w:rsidR="00801C33" w:rsidRPr="00633327" w:rsidRDefault="00801C33" w:rsidP="00801C33">
      <w:pPr>
        <w:rPr>
          <w:rFonts w:cstheme="minorHAnsi"/>
          <w:b/>
          <w:bCs/>
          <w:sz w:val="28"/>
          <w:szCs w:val="28"/>
        </w:rPr>
      </w:pPr>
      <w:r w:rsidRPr="00633327">
        <w:rPr>
          <w:rFonts w:ascii="Segoe UI Emoji" w:hAnsi="Segoe UI Emoji" w:cs="Segoe UI Emoji"/>
          <w:b/>
          <w:bCs/>
          <w:sz w:val="28"/>
          <w:szCs w:val="28"/>
        </w:rPr>
        <w:t>🧩</w:t>
      </w:r>
      <w:r w:rsidRPr="00633327">
        <w:rPr>
          <w:rFonts w:cstheme="minorHAnsi"/>
          <w:b/>
          <w:bCs/>
          <w:sz w:val="28"/>
          <w:szCs w:val="28"/>
        </w:rPr>
        <w:t xml:space="preserve"> 6. Community Connection and Isolation</w:t>
      </w:r>
    </w:p>
    <w:p w14:paraId="02A9C193" w14:textId="77777777" w:rsidR="00801C33" w:rsidRPr="00801C33" w:rsidRDefault="00801C33" w:rsidP="00801C33">
      <w:pPr>
        <w:rPr>
          <w:rFonts w:cstheme="minorHAnsi"/>
        </w:rPr>
      </w:pPr>
      <w:r w:rsidRPr="00801C33">
        <w:rPr>
          <w:rFonts w:cstheme="minorHAnsi"/>
        </w:rPr>
        <w:t>Insight Questions:</w:t>
      </w:r>
    </w:p>
    <w:p w14:paraId="4573E524" w14:textId="77777777" w:rsidR="00801C33" w:rsidRPr="00801C33" w:rsidRDefault="00801C33" w:rsidP="00801C33">
      <w:pPr>
        <w:rPr>
          <w:rFonts w:cstheme="minorHAnsi"/>
        </w:rPr>
      </w:pPr>
      <w:r w:rsidRPr="00801C33">
        <w:rPr>
          <w:rFonts w:cstheme="minorHAnsi"/>
        </w:rPr>
        <w:t>• How do people experience community connection and isolation?</w:t>
      </w:r>
    </w:p>
    <w:p w14:paraId="0A2A6D87" w14:textId="5C5CF94C" w:rsidR="00801C33" w:rsidRPr="00801C33" w:rsidRDefault="00801C33" w:rsidP="0057100D">
      <w:pPr>
        <w:rPr>
          <w:rFonts w:cstheme="minorHAnsi"/>
        </w:rPr>
      </w:pPr>
      <w:r w:rsidRPr="00801C33">
        <w:rPr>
          <w:rFonts w:cstheme="minorHAnsi"/>
        </w:rPr>
        <w:t>Sources:</w:t>
      </w:r>
      <w:r w:rsidR="0057100D">
        <w:rPr>
          <w:rFonts w:cstheme="minorHAnsi"/>
        </w:rPr>
        <w:t xml:space="preserve"> </w:t>
      </w:r>
      <w:hyperlink r:id="rId25" w:tgtFrame="_blank" w:history="1">
        <w:r w:rsidR="0057100D" w:rsidRPr="0057100D">
          <w:rPr>
            <w:rStyle w:val="Hyperlink"/>
            <w:rFonts w:cstheme="minorHAnsi"/>
          </w:rPr>
          <w:t>Devon Communities Together Impact Reports</w:t>
        </w:r>
      </w:hyperlink>
      <w:r w:rsidR="0057100D">
        <w:rPr>
          <w:rFonts w:cstheme="minorHAnsi"/>
        </w:rPr>
        <w:t xml:space="preserve">, </w:t>
      </w:r>
      <w:hyperlink r:id="rId26" w:tgtFrame="_blank" w:history="1">
        <w:r w:rsidR="0057100D" w:rsidRPr="0057100D">
          <w:rPr>
            <w:rStyle w:val="Hyperlink"/>
            <w:rFonts w:cstheme="minorHAnsi"/>
          </w:rPr>
          <w:t>Devon 10-Year Health Plan Engagement Findings</w:t>
        </w:r>
      </w:hyperlink>
    </w:p>
    <w:p w14:paraId="6C4E876B" w14:textId="6958AD62" w:rsidR="00801C33" w:rsidRPr="00801C33" w:rsidRDefault="00801C33" w:rsidP="231BE413">
      <w:r w:rsidRPr="1CAF28B7">
        <w:rPr>
          <w:b/>
          <w:bCs/>
        </w:rPr>
        <w:t>Insight:</w:t>
      </w:r>
      <w:r w:rsidR="0057100D">
        <w:t xml:space="preserve"> </w:t>
      </w:r>
      <w:r>
        <w:t>While Devon has strong community networks, isolation remains a significant issue, especially for older adults and those with limited mobility. VCSE organisations report that community-led initiatives and volunteering are vital for mental wellbeing and resilience. However, some groups feel disconnected from strategic planning and lack access to data and support.</w:t>
      </w:r>
      <w:r w:rsidR="283CD354">
        <w:t xml:space="preserve"> The reduction in VCSE infrastructure investment has resulted in significantly less support for local place-based charities and community groups’ capacity and sustainability. </w:t>
      </w:r>
    </w:p>
    <w:p w14:paraId="1BAE02C4" w14:textId="77777777" w:rsidR="00801C33" w:rsidRPr="00801C33" w:rsidRDefault="00801C33" w:rsidP="00801C33">
      <w:pPr>
        <w:rPr>
          <w:rFonts w:cstheme="minorHAnsi"/>
        </w:rPr>
      </w:pPr>
    </w:p>
    <w:p w14:paraId="7DACEC72" w14:textId="77777777" w:rsidR="00801C33" w:rsidRPr="0057100D" w:rsidRDefault="00801C33" w:rsidP="00801C33">
      <w:pPr>
        <w:rPr>
          <w:rFonts w:cstheme="minorHAnsi"/>
          <w:b/>
          <w:bCs/>
          <w:sz w:val="28"/>
          <w:szCs w:val="28"/>
        </w:rPr>
      </w:pPr>
      <w:r w:rsidRPr="0057100D">
        <w:rPr>
          <w:rFonts w:ascii="Segoe UI Emoji" w:hAnsi="Segoe UI Emoji" w:cs="Segoe UI Emoji"/>
          <w:b/>
          <w:bCs/>
          <w:sz w:val="28"/>
          <w:szCs w:val="28"/>
        </w:rPr>
        <w:t>🏥</w:t>
      </w:r>
      <w:r w:rsidRPr="0057100D">
        <w:rPr>
          <w:rFonts w:cstheme="minorHAnsi"/>
          <w:b/>
          <w:bCs/>
          <w:sz w:val="28"/>
          <w:szCs w:val="28"/>
        </w:rPr>
        <w:t xml:space="preserve"> 7. Health and Care Services Access</w:t>
      </w:r>
    </w:p>
    <w:p w14:paraId="6DF7CA0C" w14:textId="77777777" w:rsidR="00801C33" w:rsidRPr="00801C33" w:rsidRDefault="00801C33" w:rsidP="00801C33">
      <w:pPr>
        <w:rPr>
          <w:rFonts w:cstheme="minorHAnsi"/>
        </w:rPr>
      </w:pPr>
      <w:r w:rsidRPr="00801C33">
        <w:rPr>
          <w:rFonts w:cstheme="minorHAnsi"/>
        </w:rPr>
        <w:t>Insight Questions:</w:t>
      </w:r>
    </w:p>
    <w:p w14:paraId="560F1948" w14:textId="29E5EFA0" w:rsidR="00801C33" w:rsidRPr="00801C33" w:rsidRDefault="00801C33" w:rsidP="1CAF28B7">
      <w:r w:rsidRPr="1CAF28B7">
        <w:t>• What are the challenges in accessing health and care services</w:t>
      </w:r>
      <w:r w:rsidR="77FC8CF2" w:rsidRPr="1CAF28B7">
        <w:t>, and particularly in those living with disabilities, long term conditions, mental illness, and neurodivergence</w:t>
      </w:r>
      <w:r w:rsidRPr="1CAF28B7">
        <w:t>?</w:t>
      </w:r>
    </w:p>
    <w:p w14:paraId="1C49C0CA" w14:textId="47BAAA79" w:rsidR="00801C33" w:rsidRPr="00801C33" w:rsidRDefault="00801C33" w:rsidP="0070313E">
      <w:pPr>
        <w:rPr>
          <w:rFonts w:cstheme="minorHAnsi"/>
        </w:rPr>
      </w:pPr>
      <w:r w:rsidRPr="00801C33">
        <w:rPr>
          <w:rFonts w:cstheme="minorHAnsi"/>
        </w:rPr>
        <w:t>Sources:</w:t>
      </w:r>
      <w:r w:rsidR="0057100D">
        <w:rPr>
          <w:rFonts w:cstheme="minorHAnsi"/>
        </w:rPr>
        <w:t xml:space="preserve"> </w:t>
      </w:r>
      <w:hyperlink r:id="rId27" w:tgtFrame="_blank" w:history="1">
        <w:r w:rsidR="0070313E" w:rsidRPr="0070313E">
          <w:rPr>
            <w:rStyle w:val="Hyperlink"/>
            <w:rFonts w:cstheme="minorHAnsi"/>
          </w:rPr>
          <w:t>Royal Devon Health Inequalities Strategy</w:t>
        </w:r>
      </w:hyperlink>
      <w:r w:rsidR="0070313E">
        <w:rPr>
          <w:rFonts w:cstheme="minorHAnsi"/>
        </w:rPr>
        <w:t xml:space="preserve">, </w:t>
      </w:r>
      <w:hyperlink r:id="rId28" w:tgtFrame="_blank" w:history="1">
        <w:r w:rsidR="0070313E" w:rsidRPr="0070313E">
          <w:rPr>
            <w:rStyle w:val="Hyperlink"/>
            <w:rFonts w:cstheme="minorHAnsi"/>
          </w:rPr>
          <w:t>VCSE Assembly Evidence to House of Lords</w:t>
        </w:r>
      </w:hyperlink>
    </w:p>
    <w:p w14:paraId="263E5937" w14:textId="5F1D17B2" w:rsidR="00801C33" w:rsidRPr="00801C33" w:rsidRDefault="00801C33" w:rsidP="0070313E">
      <w:pPr>
        <w:rPr>
          <w:rFonts w:cstheme="minorHAnsi"/>
        </w:rPr>
      </w:pPr>
      <w:r w:rsidRPr="0057100D">
        <w:rPr>
          <w:rFonts w:cstheme="minorHAnsi"/>
          <w:b/>
          <w:bCs/>
        </w:rPr>
        <w:t>Insight:</w:t>
      </w:r>
      <w:r w:rsidR="0070313E">
        <w:rPr>
          <w:rFonts w:cstheme="minorHAnsi"/>
          <w:b/>
          <w:bCs/>
        </w:rPr>
        <w:t xml:space="preserve"> </w:t>
      </w:r>
      <w:r w:rsidRPr="00801C33">
        <w:rPr>
          <w:rFonts w:cstheme="minorHAnsi"/>
        </w:rPr>
        <w:t>Access to GPs, dentists, mental health services, and urgent care varies widely across Devon. Workforce shortages and geographic barriers affect service delivery, particularly in rural and coastal areas. Care-experienced young people and those with complex needs often face delays and fragmentation. VCSE partners are co-leading strategic groups to improve integration and equity.</w:t>
      </w:r>
    </w:p>
    <w:p w14:paraId="40F14B54" w14:textId="77777777" w:rsidR="00801C33" w:rsidRPr="00801C33" w:rsidRDefault="00801C33" w:rsidP="00801C33">
      <w:pPr>
        <w:rPr>
          <w:rFonts w:cstheme="minorHAnsi"/>
        </w:rPr>
      </w:pPr>
    </w:p>
    <w:p w14:paraId="03E39FC6" w14:textId="77777777" w:rsidR="00801C33" w:rsidRPr="0070313E" w:rsidRDefault="00801C33" w:rsidP="00801C33">
      <w:pPr>
        <w:rPr>
          <w:rFonts w:cstheme="minorHAnsi"/>
          <w:b/>
          <w:bCs/>
          <w:sz w:val="28"/>
          <w:szCs w:val="28"/>
        </w:rPr>
      </w:pPr>
      <w:r w:rsidRPr="0070313E">
        <w:rPr>
          <w:rFonts w:ascii="Segoe UI Emoji" w:hAnsi="Segoe UI Emoji" w:cs="Segoe UI Emoji"/>
          <w:b/>
          <w:bCs/>
          <w:sz w:val="28"/>
          <w:szCs w:val="28"/>
        </w:rPr>
        <w:t>🌿</w:t>
      </w:r>
      <w:r w:rsidRPr="0070313E">
        <w:rPr>
          <w:rFonts w:cstheme="minorHAnsi"/>
          <w:b/>
          <w:bCs/>
          <w:sz w:val="28"/>
          <w:szCs w:val="28"/>
        </w:rPr>
        <w:t xml:space="preserve"> 8. Environment</w:t>
      </w:r>
    </w:p>
    <w:p w14:paraId="4E7522A1" w14:textId="77777777" w:rsidR="00801C33" w:rsidRPr="00801C33" w:rsidRDefault="00801C33" w:rsidP="00801C33">
      <w:pPr>
        <w:rPr>
          <w:rFonts w:cstheme="minorHAnsi"/>
        </w:rPr>
      </w:pPr>
      <w:r w:rsidRPr="00801C33">
        <w:rPr>
          <w:rFonts w:cstheme="minorHAnsi"/>
        </w:rPr>
        <w:t>Insight Questions:</w:t>
      </w:r>
    </w:p>
    <w:p w14:paraId="7EBE6110" w14:textId="77777777" w:rsidR="00801C33" w:rsidRPr="00801C33" w:rsidRDefault="00801C33" w:rsidP="00801C33">
      <w:pPr>
        <w:rPr>
          <w:rFonts w:cstheme="minorHAnsi"/>
        </w:rPr>
      </w:pPr>
      <w:r w:rsidRPr="00801C33">
        <w:rPr>
          <w:rFonts w:cstheme="minorHAnsi"/>
        </w:rPr>
        <w:t>• How does the environment support or hinder health in Devon?</w:t>
      </w:r>
    </w:p>
    <w:p w14:paraId="0BC3295F" w14:textId="0D2BD733" w:rsidR="00801C33" w:rsidRDefault="00801C33" w:rsidP="1CAF28B7">
      <w:pPr>
        <w:rPr>
          <w:rFonts w:ascii="Segoe UI" w:eastAsia="Segoe UI" w:hAnsi="Segoe UI" w:cs="Segoe UI"/>
          <w:sz w:val="18"/>
          <w:szCs w:val="18"/>
        </w:rPr>
      </w:pPr>
      <w:r w:rsidRPr="1CAF28B7">
        <w:t>Sources:</w:t>
      </w:r>
      <w:r w:rsidR="0093485E" w:rsidRPr="1CAF28B7">
        <w:t xml:space="preserve"> </w:t>
      </w:r>
      <w:hyperlink r:id="rId29">
        <w:r w:rsidR="00AE4DA5" w:rsidRPr="1CAF28B7">
          <w:rPr>
            <w:rStyle w:val="Hyperlink"/>
          </w:rPr>
          <w:t>Annual Public Health Reports</w:t>
        </w:r>
      </w:hyperlink>
      <w:r w:rsidR="00AE4DA5" w:rsidRPr="1CAF28B7">
        <w:t xml:space="preserve">, </w:t>
      </w:r>
      <w:hyperlink r:id="rId30">
        <w:r w:rsidR="00AE4DA5" w:rsidRPr="1CAF28B7">
          <w:rPr>
            <w:rStyle w:val="Hyperlink"/>
          </w:rPr>
          <w:t>Devon Communities Together Strategic Aims</w:t>
        </w:r>
      </w:hyperlink>
      <w:r w:rsidR="7A7EA782" w:rsidRPr="1CAF28B7">
        <w:t xml:space="preserve">, </w:t>
      </w:r>
      <w:hyperlink r:id="rId31">
        <w:r w:rsidR="7A7EA782" w:rsidRPr="1CAF28B7">
          <w:rPr>
            <w:rStyle w:val="Hyperlink"/>
            <w:rFonts w:eastAsiaTheme="minorEastAsia"/>
          </w:rPr>
          <w:t>Devon Connecting People and Landscapes,</w:t>
        </w:r>
      </w:hyperlink>
      <w:r w:rsidR="7A7EA782" w:rsidRPr="1CAF28B7">
        <w:rPr>
          <w:rFonts w:eastAsiaTheme="minorEastAsia"/>
        </w:rPr>
        <w:t xml:space="preserve"> </w:t>
      </w:r>
      <w:hyperlink r:id="rId32">
        <w:r w:rsidR="7A7EA782" w:rsidRPr="1CAF28B7">
          <w:rPr>
            <w:rStyle w:val="Hyperlink"/>
            <w:rFonts w:eastAsiaTheme="minorEastAsia"/>
          </w:rPr>
          <w:t>Devon Local Nature Recovery Strategy</w:t>
        </w:r>
      </w:hyperlink>
    </w:p>
    <w:p w14:paraId="50B6C6FA" w14:textId="6777E56B" w:rsidR="00231E1B" w:rsidRDefault="00801C33" w:rsidP="231BE413">
      <w:r w:rsidRPr="1CAF28B7">
        <w:rPr>
          <w:b/>
          <w:bCs/>
        </w:rPr>
        <w:t>Insight:</w:t>
      </w:r>
      <w:r w:rsidR="00AE4DA5" w:rsidRPr="1CAF28B7">
        <w:rPr>
          <w:b/>
          <w:bCs/>
        </w:rPr>
        <w:t xml:space="preserve"> </w:t>
      </w:r>
      <w:r>
        <w:t>Devon’s natural environment is a health asset, offering green and blue spaces that support physical activity and mental wellbeing. However, access is uneven, and some communities lack safe, walkable green space. Climate change and environmental degradation pose growing risks, particularly for vulnerable populations. VCSE organisations are working on community-led sustainability and resilience projects.</w:t>
      </w:r>
    </w:p>
    <w:p w14:paraId="2E58515C" w14:textId="77777777" w:rsidR="00F436B1" w:rsidRDefault="00F436B1" w:rsidP="00083EB0">
      <w:pPr>
        <w:rPr>
          <w:rFonts w:cstheme="minorHAnsi"/>
        </w:rPr>
      </w:pPr>
    </w:p>
    <w:p w14:paraId="291FC9A5" w14:textId="70F99609" w:rsidR="00CF325B" w:rsidRDefault="00CF325B" w:rsidP="1CAF28B7">
      <w:r>
        <w:rPr>
          <w:b/>
          <w:bCs/>
          <w:noProof/>
          <w:sz w:val="28"/>
          <w:szCs w:val="28"/>
        </w:rPr>
        <mc:AlternateContent>
          <mc:Choice Requires="wps">
            <w:drawing>
              <wp:anchor distT="0" distB="0" distL="114300" distR="114300" simplePos="0" relativeHeight="251658240" behindDoc="0" locked="0" layoutInCell="1" allowOverlap="1" wp14:anchorId="3FEB3DF1" wp14:editId="11A9335C">
                <wp:simplePos x="0" y="0"/>
                <wp:positionH relativeFrom="margin">
                  <wp:posOffset>-419100</wp:posOffset>
                </wp:positionH>
                <wp:positionV relativeFrom="paragraph">
                  <wp:posOffset>224154</wp:posOffset>
                </wp:positionV>
                <wp:extent cx="6563533" cy="4676775"/>
                <wp:effectExtent l="0" t="0" r="27940" b="28575"/>
                <wp:wrapNone/>
                <wp:docPr id="348187552" name="Rectangle 1"/>
                <wp:cNvGraphicFramePr/>
                <a:graphic xmlns:a="http://schemas.openxmlformats.org/drawingml/2006/main">
                  <a:graphicData uri="http://schemas.microsoft.com/office/word/2010/wordprocessingShape">
                    <wps:wsp>
                      <wps:cNvSpPr/>
                      <wps:spPr>
                        <a:xfrm>
                          <a:off x="0" y="0"/>
                          <a:ext cx="6563533" cy="467677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V relativeFrom="margin">
                  <wp14:pctHeight>0</wp14:pctHeight>
                </wp14:sizeRelV>
              </wp:anchor>
            </w:drawing>
          </mc:Choice>
          <mc:Fallback>
            <w:pict>
              <v:rect w14:anchorId="1B1C0969" id="Rectangle 1" o:spid="_x0000_s1026" style="position:absolute;margin-left:-33pt;margin-top:17.65pt;width:516.8pt;height:368.2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" filled="f" strokecolor="#00a4a7" strokeweight="1pt">
                <w10:wrap anchorx="margin"/>
              </v:rect>
            </w:pict>
          </mc:Fallback>
        </mc:AlternateContent>
      </w:r>
    </w:p>
    <w:p w14:paraId="66BB452A" w14:textId="77777777" w:rsidR="00907139" w:rsidRDefault="00907139" w:rsidP="00907139">
      <w:pPr>
        <w:rPr>
          <w:b/>
          <w:bCs/>
          <w:sz w:val="28"/>
          <w:szCs w:val="28"/>
        </w:rPr>
      </w:pPr>
      <w:r>
        <w:rPr>
          <w:b/>
          <w:bCs/>
          <w:sz w:val="28"/>
          <w:szCs w:val="28"/>
        </w:rPr>
        <w:t>Gaps in insights and local research</w:t>
      </w:r>
    </w:p>
    <w:p w14:paraId="37020FA8" w14:textId="2692CD2E" w:rsidR="00C75073" w:rsidRDefault="00C75073" w:rsidP="00972A3B">
      <w:r w:rsidRPr="00C75073">
        <w:t>The Building Blocks of Health chapter provides a comprehensive overview of the social determinants shaping health and wellbeing across Devon. However, there are areas where local insigh</w:t>
      </w:r>
      <w:r>
        <w:t xml:space="preserve">t, </w:t>
      </w:r>
      <w:r w:rsidRPr="00C75073">
        <w:t>particularly lived experience and community-led research</w:t>
      </w:r>
      <w:r>
        <w:t xml:space="preserve">, </w:t>
      </w:r>
      <w:r w:rsidRPr="00C75073">
        <w:t>is limited or could be expanded to strengthen understanding and inform service design. These gaps highlight opportunities for deeper engagement, inclusive data collection, and targeted research.</w:t>
      </w:r>
    </w:p>
    <w:p w14:paraId="7CB46C4F" w14:textId="60757AE2" w:rsidR="00972A3B" w:rsidRDefault="00C75073" w:rsidP="00972A3B">
      <w:r>
        <w:rPr>
          <w:b/>
          <w:bCs/>
        </w:rPr>
        <w:t xml:space="preserve">Housing and Indoor Environment: </w:t>
      </w:r>
      <w:r w:rsidR="00972A3B">
        <w:t xml:space="preserve"> </w:t>
      </w:r>
      <w:r w:rsidR="00970C28" w:rsidRPr="00970C28">
        <w:t>While housing affordability and fuel poverty are well-documented, there is limited qualitative insight into how poor housing conditions affect daily life, mental health, and child development. Families in temporary accommodation, overcrowded housing, or experiencing hidden homelessness are underrepresented in consultations. More lived experience from renters, housing support services, and community housing groups could enrich understanding.</w:t>
      </w:r>
    </w:p>
    <w:p w14:paraId="30AC04BE" w14:textId="53AD4D15" w:rsidR="00972A3B" w:rsidRDefault="00970C28" w:rsidP="00972A3B">
      <w:r>
        <w:rPr>
          <w:b/>
          <w:bCs/>
        </w:rPr>
        <w:t>Economic Insecurity and Work</w:t>
      </w:r>
      <w:r w:rsidR="00972A3B" w:rsidRPr="00A37B93">
        <w:rPr>
          <w:b/>
          <w:bCs/>
        </w:rPr>
        <w:t>:</w:t>
      </w:r>
      <w:r w:rsidR="00972A3B">
        <w:t xml:space="preserve"> </w:t>
      </w:r>
      <w:r w:rsidRPr="00970C28">
        <w:t>Quantitative data shows high levels of in-work poverty and economic stress, particularly in rural and seasonal employment. However, there is a lack of insight into how financial insecurity affects dignity, mental wellbeing, and access to services. The experiences of care-experienced young people, informal carers, and those in precarious work are not consistently captured in local research.</w:t>
      </w:r>
    </w:p>
    <w:p w14:paraId="523EB22E" w14:textId="42D2B37D" w:rsidR="00972A3B" w:rsidRDefault="00970C28" w:rsidP="00972A3B">
      <w:r>
        <w:rPr>
          <w:b/>
          <w:bCs/>
        </w:rPr>
        <w:t>Education and Skills Development</w:t>
      </w:r>
      <w:r w:rsidR="00972A3B" w:rsidRPr="00A37B93">
        <w:rPr>
          <w:b/>
          <w:bCs/>
        </w:rPr>
        <w:t>:</w:t>
      </w:r>
      <w:r w:rsidR="00972A3B">
        <w:t xml:space="preserve"> </w:t>
      </w:r>
      <w:r w:rsidR="00D35C88" w:rsidRPr="00D35C88">
        <w:t>Educational attainment data is available, but there is limited insight into barriers faced by adult learners, neurodiverse individuals, and those with additional needs. Informal learning, digital literacy, and community-based education are underexplored. More engagement with learners, educators, and VCSE partners could help identify gaps and opportunities for inclusive skills development.</w:t>
      </w:r>
    </w:p>
    <w:p w14:paraId="3B603A5E" w14:textId="77777777" w:rsidR="00D35C88" w:rsidRDefault="00D35C88" w:rsidP="00972A3B">
      <w:pPr>
        <w:rPr>
          <w:b/>
          <w:bCs/>
        </w:rPr>
      </w:pPr>
    </w:p>
    <w:p w14:paraId="59E18961" w14:textId="44023C9B" w:rsidR="00B80FF2" w:rsidRDefault="00B80FF2" w:rsidP="00972A3B">
      <w:pPr>
        <w:rPr>
          <w:b/>
          <w:bCs/>
        </w:rPr>
      </w:pPr>
      <w:r>
        <w:rPr>
          <w:b/>
          <w:bCs/>
          <w:noProof/>
          <w:sz w:val="28"/>
          <w:szCs w:val="28"/>
        </w:rPr>
        <mc:AlternateContent>
          <mc:Choice Requires="wps">
            <w:drawing>
              <wp:anchor distT="0" distB="0" distL="114300" distR="114300" simplePos="0" relativeHeight="251658241" behindDoc="0" locked="0" layoutInCell="1" allowOverlap="1" wp14:anchorId="620983A3" wp14:editId="01AD76A7">
                <wp:simplePos x="0" y="0"/>
                <wp:positionH relativeFrom="margin">
                  <wp:posOffset>-419100</wp:posOffset>
                </wp:positionH>
                <wp:positionV relativeFrom="paragraph">
                  <wp:posOffset>102870</wp:posOffset>
                </wp:positionV>
                <wp:extent cx="6563533" cy="5343525"/>
                <wp:effectExtent l="0" t="0" r="27940" b="28575"/>
                <wp:wrapNone/>
                <wp:docPr id="1325009726" name="Rectangle 1"/>
                <wp:cNvGraphicFramePr/>
                <a:graphic xmlns:a="http://schemas.openxmlformats.org/drawingml/2006/main">
                  <a:graphicData uri="http://schemas.microsoft.com/office/word/2010/wordprocessingShape">
                    <wps:wsp>
                      <wps:cNvSpPr/>
                      <wps:spPr>
                        <a:xfrm>
                          <a:off x="0" y="0"/>
                          <a:ext cx="6563533" cy="534352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V relativeFrom="margin">
                  <wp14:pctHeight>0</wp14:pctHeight>
                </wp14:sizeRelV>
              </wp:anchor>
            </w:drawing>
          </mc:Choice>
          <mc:Fallback>
            <w:pict>
              <v:rect w14:anchorId="4C756EC8" id="Rectangle 1" o:spid="_x0000_s1026" style="position:absolute;margin-left:-33pt;margin-top:8.1pt;width:516.8pt;height:420.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" filled="f" strokecolor="#00a4a7" strokeweight="1pt">
                <w10:wrap anchorx="margin"/>
              </v:rect>
            </w:pict>
          </mc:Fallback>
        </mc:AlternateContent>
      </w:r>
    </w:p>
    <w:p w14:paraId="3119F170" w14:textId="3BF513B8" w:rsidR="0090684A" w:rsidRDefault="00D35C88" w:rsidP="00972A3B">
      <w:r>
        <w:rPr>
          <w:b/>
          <w:bCs/>
        </w:rPr>
        <w:t>Transport Poverty</w:t>
      </w:r>
      <w:r w:rsidR="00972A3B" w:rsidRPr="00A37B93">
        <w:rPr>
          <w:b/>
          <w:bCs/>
        </w:rPr>
        <w:t xml:space="preserve">: </w:t>
      </w:r>
      <w:r w:rsidRPr="00D35C88">
        <w:t>Transport access is a known barrier in rural Devon, yet there is little lived experience data from disabled people, young carers, and those in isolated hamlets. The emotional and practical impacts of transport poverty</w:t>
      </w:r>
      <w:r>
        <w:t xml:space="preserve">, </w:t>
      </w:r>
      <w:r w:rsidRPr="00D35C88">
        <w:t>such as missed appointments, social isolation, and reduced employment opportunities</w:t>
      </w:r>
      <w:r>
        <w:t xml:space="preserve">, </w:t>
      </w:r>
      <w:r w:rsidRPr="00D35C88">
        <w:t>are not well documented. Community-led mapping and storytelling could help fill this gap.</w:t>
      </w:r>
    </w:p>
    <w:p w14:paraId="263A243B" w14:textId="4D8C3640" w:rsidR="00D35C88" w:rsidRPr="00D35C88" w:rsidRDefault="00D35C88" w:rsidP="00972A3B">
      <w:pPr>
        <w:rPr>
          <w:b/>
          <w:bCs/>
        </w:rPr>
      </w:pPr>
      <w:r w:rsidRPr="00D35C88">
        <w:rPr>
          <w:b/>
          <w:bCs/>
        </w:rPr>
        <w:t xml:space="preserve">Digital Exclusion: </w:t>
      </w:r>
      <w:r w:rsidR="00D26BB5" w:rsidRPr="00D26BB5">
        <w:t>The Digital Exclusion Dashboard provides valuable data, but there is limited insight into how digital exclusion affects specific groups, such as neurodiverse individuals, people with sensory impairments, and those experiencing homelessness. Community-led digital inclusion projects are often under-evaluated, and more participatory research could strengthen understanding of barriers and solutions.</w:t>
      </w:r>
    </w:p>
    <w:p w14:paraId="41AFBCD7" w14:textId="21AB221F" w:rsidR="00CF325B" w:rsidRDefault="00D26BB5" w:rsidP="00D26BB5">
      <w:pPr>
        <w:rPr>
          <w:rFonts w:cstheme="minorHAnsi"/>
        </w:rPr>
      </w:pPr>
      <w:r w:rsidRPr="00D26BB5">
        <w:rPr>
          <w:rFonts w:cstheme="minorHAnsi"/>
          <w:b/>
          <w:bCs/>
        </w:rPr>
        <w:t>Community Connection and Isolation:</w:t>
      </w:r>
      <w:r>
        <w:rPr>
          <w:rFonts w:cstheme="minorHAnsi"/>
          <w:b/>
          <w:bCs/>
        </w:rPr>
        <w:t xml:space="preserve"> </w:t>
      </w:r>
      <w:r w:rsidRPr="00D26BB5">
        <w:rPr>
          <w:rFonts w:cstheme="minorHAnsi"/>
        </w:rPr>
        <w:t>Devon benefits from strong community networks, but there is a lack of insight into intergenerational relationships, cultural inclusion, and informal support systems. Some communities feel disconnected from strategic planning and lack access to data and decision-making processes. More inclusive engagement and co-produced research could help surface hidden strengths and unmet needs.</w:t>
      </w:r>
    </w:p>
    <w:p w14:paraId="1A531E02" w14:textId="466E0124" w:rsidR="00D35C88" w:rsidRDefault="00315D1C" w:rsidP="00315D1C">
      <w:pPr>
        <w:rPr>
          <w:rFonts w:cstheme="minorHAnsi"/>
        </w:rPr>
      </w:pPr>
      <w:r w:rsidRPr="00315D1C">
        <w:rPr>
          <w:rFonts w:cstheme="minorHAnsi"/>
          <w:b/>
          <w:bCs/>
        </w:rPr>
        <w:t>Access to Health and Care Services:</w:t>
      </w:r>
      <w:r>
        <w:rPr>
          <w:rFonts w:cstheme="minorHAnsi"/>
          <w:b/>
          <w:bCs/>
        </w:rPr>
        <w:t xml:space="preserve"> </w:t>
      </w:r>
      <w:r w:rsidRPr="00315D1C">
        <w:rPr>
          <w:rFonts w:cstheme="minorHAnsi"/>
        </w:rPr>
        <w:t>Service access varies across Devon, but there is limited insight into how people navigate fragmented systems, especially those with multiple vulnerabilities. Migrant communities, LGBTQ+ individuals, and people with complex needs are often missing from local datasets. Lived experience from service users, carers, and frontline staff could inform more responsive and equitable service design.</w:t>
      </w:r>
    </w:p>
    <w:p w14:paraId="3AF4ADC0" w14:textId="47831EA7" w:rsidR="00D35C88" w:rsidRDefault="00751551" w:rsidP="00751551">
      <w:pPr>
        <w:rPr>
          <w:rFonts w:cstheme="minorHAnsi"/>
        </w:rPr>
      </w:pPr>
      <w:r w:rsidRPr="00751551">
        <w:rPr>
          <w:rFonts w:cstheme="minorHAnsi"/>
          <w:b/>
          <w:bCs/>
        </w:rPr>
        <w:t>Environmental Health and Climate Resilience:</w:t>
      </w:r>
      <w:r>
        <w:rPr>
          <w:rFonts w:cstheme="minorHAnsi"/>
          <w:b/>
          <w:bCs/>
        </w:rPr>
        <w:t xml:space="preserve"> </w:t>
      </w:r>
      <w:r w:rsidRPr="00751551">
        <w:rPr>
          <w:rFonts w:cstheme="minorHAnsi"/>
        </w:rPr>
        <w:t>Devon’s natural environment is a health asset, yet there is little community-led research on environmental justice, access to green space, and climate resilience. The health impacts of environmental degradation</w:t>
      </w:r>
      <w:r>
        <w:rPr>
          <w:rFonts w:cstheme="minorHAnsi"/>
        </w:rPr>
        <w:t xml:space="preserve">, </w:t>
      </w:r>
      <w:r w:rsidRPr="00751551">
        <w:rPr>
          <w:rFonts w:cstheme="minorHAnsi"/>
        </w:rPr>
        <w:t>particularly in deprived areas</w:t>
      </w:r>
      <w:r>
        <w:rPr>
          <w:rFonts w:cstheme="minorHAnsi"/>
        </w:rPr>
        <w:t xml:space="preserve">, </w:t>
      </w:r>
      <w:r w:rsidRPr="00751551">
        <w:rPr>
          <w:rFonts w:cstheme="minorHAnsi"/>
        </w:rPr>
        <w:t>are underexplored. Engaging communities in environmental health research could support more inclusive sustainability planning.</w:t>
      </w:r>
    </w:p>
    <w:p w14:paraId="28AB1F47" w14:textId="77777777" w:rsidR="00D35C88" w:rsidRDefault="00D35C88" w:rsidP="00083EB0">
      <w:pPr>
        <w:rPr>
          <w:rFonts w:cstheme="minorHAnsi"/>
        </w:rPr>
      </w:pPr>
    </w:p>
    <w:p w14:paraId="526BD030" w14:textId="77777777" w:rsidR="00D35C88" w:rsidRDefault="00D35C88" w:rsidP="00083EB0">
      <w:pPr>
        <w:rPr>
          <w:rFonts w:cstheme="minorHAnsi"/>
        </w:rPr>
      </w:pPr>
    </w:p>
    <w:p w14:paraId="76C06EDB" w14:textId="77777777" w:rsidR="00D35C88" w:rsidRDefault="00D35C88" w:rsidP="00083EB0">
      <w:pPr>
        <w:rPr>
          <w:rFonts w:cstheme="minorHAnsi"/>
        </w:rPr>
      </w:pPr>
    </w:p>
    <w:p w14:paraId="79654A19" w14:textId="43A37014" w:rsidR="003E7D20" w:rsidRDefault="0054623D">
      <w:pPr>
        <w:rPr>
          <w:b/>
          <w:bCs/>
          <w:sz w:val="28"/>
          <w:szCs w:val="28"/>
        </w:rPr>
      </w:pPr>
      <w:r>
        <w:rPr>
          <w:b/>
          <w:bCs/>
          <w:sz w:val="28"/>
          <w:szCs w:val="28"/>
        </w:rPr>
        <w:t>Building Blocks of Health and Wellbeing</w:t>
      </w:r>
      <w:r w:rsidR="003E7D20" w:rsidRPr="00494219">
        <w:rPr>
          <w:b/>
          <w:bCs/>
          <w:sz w:val="28"/>
          <w:szCs w:val="28"/>
        </w:rPr>
        <w:t xml:space="preserve"> Priorities for Devon</w:t>
      </w:r>
    </w:p>
    <w:p w14:paraId="46536471" w14:textId="77777777" w:rsidR="00494219" w:rsidRPr="00494219" w:rsidRDefault="00494219">
      <w:pPr>
        <w:rPr>
          <w:b/>
          <w:bCs/>
          <w:sz w:val="28"/>
          <w:szCs w:val="28"/>
        </w:rPr>
      </w:pPr>
    </w:p>
    <w:p w14:paraId="233C554E" w14:textId="58BD8E8E" w:rsidR="004216BF" w:rsidRDefault="00CF2A2D" w:rsidP="00D3472E">
      <w:pPr>
        <w:numPr>
          <w:ilvl w:val="0"/>
          <w:numId w:val="2"/>
        </w:numPr>
      </w:pPr>
      <w:r w:rsidRPr="00CF2A2D">
        <w:rPr>
          <w:b/>
          <w:bCs/>
        </w:rPr>
        <w:t xml:space="preserve">Tackle Housing Insecurity: </w:t>
      </w:r>
      <w:r w:rsidRPr="00CF2A2D">
        <w:t>Increase affordable housing, improve poor conditions, and amplify voices of renters and young people.</w:t>
      </w:r>
    </w:p>
    <w:p w14:paraId="1B8A6AF4" w14:textId="1F87EB24" w:rsidR="00893A88" w:rsidRDefault="00893A88" w:rsidP="00D3472E">
      <w:pPr>
        <w:numPr>
          <w:ilvl w:val="0"/>
          <w:numId w:val="2"/>
        </w:numPr>
      </w:pPr>
      <w:r w:rsidRPr="00893A88">
        <w:rPr>
          <w:b/>
          <w:bCs/>
        </w:rPr>
        <w:t>Reduce Economic Insecurity:</w:t>
      </w:r>
      <w:r>
        <w:t xml:space="preserve"> Support fair wages, secure work, and VCSE-led financial wellbeing initiatives.</w:t>
      </w:r>
    </w:p>
    <w:p w14:paraId="3656AC86" w14:textId="147E48BF" w:rsidR="00893A88" w:rsidRDefault="00893A88" w:rsidP="00D3472E">
      <w:pPr>
        <w:numPr>
          <w:ilvl w:val="0"/>
          <w:numId w:val="2"/>
        </w:numPr>
      </w:pPr>
      <w:r w:rsidRPr="00893A88">
        <w:rPr>
          <w:b/>
          <w:bCs/>
        </w:rPr>
        <w:t>Boost Education and Skills:</w:t>
      </w:r>
      <w:r>
        <w:t xml:space="preserve"> Close attainment gaps, expand adult learning, and rural-proof education services.</w:t>
      </w:r>
    </w:p>
    <w:p w14:paraId="5118C8A8" w14:textId="560F0A9D" w:rsidR="00893A88" w:rsidRDefault="00893A88" w:rsidP="00D3472E">
      <w:pPr>
        <w:numPr>
          <w:ilvl w:val="0"/>
          <w:numId w:val="2"/>
        </w:numPr>
      </w:pPr>
      <w:r w:rsidRPr="00893A88">
        <w:rPr>
          <w:b/>
          <w:bCs/>
        </w:rPr>
        <w:t>Address Transport Poverty:</w:t>
      </w:r>
      <w:r>
        <w:t xml:space="preserve"> Improve rural transport, include transport in equity planning, and gather lived experience.</w:t>
      </w:r>
    </w:p>
    <w:p w14:paraId="4D9D8B92" w14:textId="498D0C8B" w:rsidR="00893A88" w:rsidRDefault="00893A88" w:rsidP="00D3472E">
      <w:pPr>
        <w:numPr>
          <w:ilvl w:val="0"/>
          <w:numId w:val="2"/>
        </w:numPr>
      </w:pPr>
      <w:r w:rsidRPr="00893A88">
        <w:rPr>
          <w:b/>
          <w:bCs/>
        </w:rPr>
        <w:t>Advance Digital Inclusion:</w:t>
      </w:r>
      <w:r>
        <w:t xml:space="preserve"> Expand access to devices and skills, and support community-led digital projects.</w:t>
      </w:r>
    </w:p>
    <w:p w14:paraId="142F191C" w14:textId="5D0C2919" w:rsidR="00893A88" w:rsidRDefault="00893A88" w:rsidP="00D3472E">
      <w:pPr>
        <w:numPr>
          <w:ilvl w:val="0"/>
          <w:numId w:val="2"/>
        </w:numPr>
      </w:pPr>
      <w:r w:rsidRPr="00893A88">
        <w:rPr>
          <w:b/>
          <w:bCs/>
        </w:rPr>
        <w:t>Strengthen Community Connection:</w:t>
      </w:r>
      <w:r>
        <w:t xml:space="preserve"> Support inclusive initiatives, volunteering, and community involvement in planning.</w:t>
      </w:r>
    </w:p>
    <w:p w14:paraId="3B11FD4F" w14:textId="4196E33E" w:rsidR="00893A88" w:rsidRDefault="00893A88" w:rsidP="00D3472E">
      <w:pPr>
        <w:numPr>
          <w:ilvl w:val="0"/>
          <w:numId w:val="2"/>
        </w:numPr>
      </w:pPr>
      <w:r w:rsidRPr="00893A88">
        <w:rPr>
          <w:b/>
          <w:bCs/>
        </w:rPr>
        <w:t>Improve Service Access:</w:t>
      </w:r>
      <w:r>
        <w:t xml:space="preserve"> Tackle geographic and workforce barriers, and co-design services with under</w:t>
      </w:r>
      <w:r w:rsidR="005A4B58">
        <w:t>-</w:t>
      </w:r>
      <w:r>
        <w:t>represented groups.</w:t>
      </w:r>
    </w:p>
    <w:p w14:paraId="2CFBFF49" w14:textId="77777777" w:rsidR="005E6BB9" w:rsidRDefault="00893A88" w:rsidP="00D3472E">
      <w:pPr>
        <w:numPr>
          <w:ilvl w:val="0"/>
          <w:numId w:val="2"/>
        </w:numPr>
      </w:pPr>
      <w:r w:rsidRPr="231BE413">
        <w:rPr>
          <w:b/>
          <w:bCs/>
        </w:rPr>
        <w:t>Embed Environmental Health:</w:t>
      </w:r>
      <w:r>
        <w:t xml:space="preserve"> Ensure access to green spaces, support community sustainability, and plan for climate resilience.</w:t>
      </w:r>
      <w:r w:rsidR="007946C4">
        <w:t xml:space="preserve"> </w:t>
      </w:r>
    </w:p>
    <w:p w14:paraId="150F68C0" w14:textId="0FA27F5C" w:rsidR="00CF2A2D" w:rsidRPr="004216BF" w:rsidRDefault="007C15CB" w:rsidP="00D3472E">
      <w:pPr>
        <w:numPr>
          <w:ilvl w:val="0"/>
          <w:numId w:val="2"/>
        </w:numPr>
      </w:pPr>
      <w:r>
        <w:rPr>
          <w:b/>
          <w:bCs/>
        </w:rPr>
        <w:t xml:space="preserve">Dimension of inequalities proofing: </w:t>
      </w:r>
      <w:r w:rsidR="007946C4">
        <w:t xml:space="preserve">Embed systemic proofing requirements across all essential service providers design and delivery processes. </w:t>
      </w:r>
    </w:p>
    <w:p w14:paraId="324CAC10" w14:textId="77777777" w:rsidR="004216BF" w:rsidRDefault="004216BF" w:rsidP="004216BF">
      <w:pPr>
        <w:rPr>
          <w:b/>
          <w:bCs/>
        </w:rPr>
      </w:pPr>
    </w:p>
    <w:p w14:paraId="77FBE4BA" w14:textId="5CA147CF" w:rsidR="005F4167" w:rsidRDefault="005F4167" w:rsidP="004216BF">
      <w:r>
        <w:t>For more information</w:t>
      </w:r>
      <w:r w:rsidR="1943709C">
        <w:t>,</w:t>
      </w:r>
      <w:r>
        <w:t xml:space="preserve"> please visit the following:</w:t>
      </w:r>
    </w:p>
    <w:p w14:paraId="12DCAC6A" w14:textId="1974FEA7" w:rsidR="00494219" w:rsidRDefault="00494219" w:rsidP="00494219">
      <w:pPr>
        <w:pStyle w:val="ListParagraph"/>
        <w:numPr>
          <w:ilvl w:val="0"/>
          <w:numId w:val="3"/>
        </w:numPr>
      </w:pPr>
      <w:hyperlink r:id="rId33" w:history="1">
        <w:r w:rsidRPr="00494219">
          <w:rPr>
            <w:rStyle w:val="Hyperlink"/>
          </w:rPr>
          <w:t>Public Health Dashboards - Devon Health and Wellbeing</w:t>
        </w:r>
      </w:hyperlink>
    </w:p>
    <w:p w14:paraId="31F7AD40" w14:textId="7FBD59DA" w:rsidR="00D75A06" w:rsidRDefault="00494219" w:rsidP="00D3472E">
      <w:pPr>
        <w:pStyle w:val="ListParagraph"/>
        <w:numPr>
          <w:ilvl w:val="0"/>
          <w:numId w:val="3"/>
        </w:numPr>
      </w:pPr>
      <w:hyperlink r:id="rId34" w:history="1">
        <w:r w:rsidRPr="00494219">
          <w:rPr>
            <w:rStyle w:val="Hyperlink"/>
          </w:rPr>
          <w:t>Health and Wellbeing Library - Devon Health and Wellbeing</w:t>
        </w:r>
      </w:hyperlink>
    </w:p>
    <w:sectPr w:rsidR="00D75A0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47C8" w14:textId="77777777" w:rsidR="00212D80" w:rsidRDefault="00212D80" w:rsidP="00615C75">
      <w:pPr>
        <w:spacing w:after="0" w:line="240" w:lineRule="auto"/>
      </w:pPr>
      <w:r>
        <w:separator/>
      </w:r>
    </w:p>
  </w:endnote>
  <w:endnote w:type="continuationSeparator" w:id="0">
    <w:p w14:paraId="0C90B96E" w14:textId="77777777" w:rsidR="00212D80" w:rsidRDefault="00212D80" w:rsidP="00615C75">
      <w:pPr>
        <w:spacing w:after="0" w:line="240" w:lineRule="auto"/>
      </w:pPr>
      <w:r>
        <w:continuationSeparator/>
      </w:r>
    </w:p>
  </w:endnote>
  <w:endnote w:type="continuationNotice" w:id="1">
    <w:p w14:paraId="04AEC7F8" w14:textId="77777777" w:rsidR="00212D80" w:rsidRDefault="00212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1CF0" w14:textId="77777777" w:rsidR="00180767" w:rsidRDefault="0018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D06A" w14:textId="77777777" w:rsidR="00180767" w:rsidRDefault="0018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2B2E" w14:textId="77777777" w:rsidR="00180767" w:rsidRDefault="0018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5AB3" w14:textId="77777777" w:rsidR="00212D80" w:rsidRDefault="00212D80" w:rsidP="00615C75">
      <w:pPr>
        <w:spacing w:after="0" w:line="240" w:lineRule="auto"/>
      </w:pPr>
      <w:r>
        <w:separator/>
      </w:r>
    </w:p>
  </w:footnote>
  <w:footnote w:type="continuationSeparator" w:id="0">
    <w:p w14:paraId="34F8542C" w14:textId="77777777" w:rsidR="00212D80" w:rsidRDefault="00212D80" w:rsidP="00615C75">
      <w:pPr>
        <w:spacing w:after="0" w:line="240" w:lineRule="auto"/>
      </w:pPr>
      <w:r>
        <w:continuationSeparator/>
      </w:r>
    </w:p>
  </w:footnote>
  <w:footnote w:type="continuationNotice" w:id="1">
    <w:p w14:paraId="6E4542B5" w14:textId="77777777" w:rsidR="00212D80" w:rsidRDefault="00212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90F" w14:textId="77777777" w:rsidR="00180767" w:rsidRDefault="00180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662FE41A" w:rsidR="00615C75" w:rsidRDefault="00615C75">
    <w:pPr>
      <w:pStyle w:val="Header"/>
    </w:pPr>
    <w:r>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51F9" w14:textId="77777777" w:rsidR="00180767" w:rsidRDefault="00180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F1011"/>
    <w:multiLevelType w:val="hybridMultilevel"/>
    <w:tmpl w:val="05B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94CCD"/>
    <w:multiLevelType w:val="multilevel"/>
    <w:tmpl w:val="2590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FD3D15"/>
    <w:multiLevelType w:val="hybridMultilevel"/>
    <w:tmpl w:val="9FC8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6D083C"/>
    <w:multiLevelType w:val="hybridMultilevel"/>
    <w:tmpl w:val="54E64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4D7E1C"/>
    <w:multiLevelType w:val="multilevel"/>
    <w:tmpl w:val="BD1E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570FA"/>
    <w:multiLevelType w:val="multilevel"/>
    <w:tmpl w:val="CDF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B644A"/>
    <w:multiLevelType w:val="hybridMultilevel"/>
    <w:tmpl w:val="96C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5C6CC7"/>
    <w:multiLevelType w:val="hybridMultilevel"/>
    <w:tmpl w:val="73341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133281">
    <w:abstractNumId w:val="3"/>
  </w:num>
  <w:num w:numId="2" w16cid:durableId="911815573">
    <w:abstractNumId w:val="10"/>
  </w:num>
  <w:num w:numId="3" w16cid:durableId="1448043354">
    <w:abstractNumId w:val="5"/>
  </w:num>
  <w:num w:numId="4" w16cid:durableId="517696866">
    <w:abstractNumId w:val="9"/>
  </w:num>
  <w:num w:numId="5" w16cid:durableId="1536771977">
    <w:abstractNumId w:val="6"/>
  </w:num>
  <w:num w:numId="6" w16cid:durableId="1709916195">
    <w:abstractNumId w:val="2"/>
  </w:num>
  <w:num w:numId="7" w16cid:durableId="236912704">
    <w:abstractNumId w:val="1"/>
  </w:num>
  <w:num w:numId="8" w16cid:durableId="993293233">
    <w:abstractNumId w:val="7"/>
  </w:num>
  <w:num w:numId="9" w16cid:durableId="179468149">
    <w:abstractNumId w:val="0"/>
  </w:num>
  <w:num w:numId="10" w16cid:durableId="735661597">
    <w:abstractNumId w:val="11"/>
  </w:num>
  <w:num w:numId="11" w16cid:durableId="406653847">
    <w:abstractNumId w:val="4"/>
  </w:num>
  <w:num w:numId="12" w16cid:durableId="17083340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033A"/>
    <w:rsid w:val="00001191"/>
    <w:rsid w:val="00002176"/>
    <w:rsid w:val="0000552C"/>
    <w:rsid w:val="0001006D"/>
    <w:rsid w:val="000121C8"/>
    <w:rsid w:val="00017F44"/>
    <w:rsid w:val="000266EE"/>
    <w:rsid w:val="000368C0"/>
    <w:rsid w:val="00051A9B"/>
    <w:rsid w:val="000662C3"/>
    <w:rsid w:val="00067046"/>
    <w:rsid w:val="0007172A"/>
    <w:rsid w:val="00083EB0"/>
    <w:rsid w:val="00084E96"/>
    <w:rsid w:val="00086720"/>
    <w:rsid w:val="00097C75"/>
    <w:rsid w:val="000A3507"/>
    <w:rsid w:val="000B10BF"/>
    <w:rsid w:val="000B71D9"/>
    <w:rsid w:val="000D46D5"/>
    <w:rsid w:val="000D688C"/>
    <w:rsid w:val="000E14B5"/>
    <w:rsid w:val="000E3298"/>
    <w:rsid w:val="000F1D1B"/>
    <w:rsid w:val="00102DD2"/>
    <w:rsid w:val="0010345E"/>
    <w:rsid w:val="0011640B"/>
    <w:rsid w:val="00117C16"/>
    <w:rsid w:val="00120ABD"/>
    <w:rsid w:val="00123AD1"/>
    <w:rsid w:val="00126C27"/>
    <w:rsid w:val="00151FE8"/>
    <w:rsid w:val="001564A3"/>
    <w:rsid w:val="00162E0F"/>
    <w:rsid w:val="001773F9"/>
    <w:rsid w:val="00180767"/>
    <w:rsid w:val="00182774"/>
    <w:rsid w:val="001947FF"/>
    <w:rsid w:val="00195C68"/>
    <w:rsid w:val="00197423"/>
    <w:rsid w:val="001B5634"/>
    <w:rsid w:val="001D0EAF"/>
    <w:rsid w:val="001D728A"/>
    <w:rsid w:val="001D7B71"/>
    <w:rsid w:val="00202207"/>
    <w:rsid w:val="002034AD"/>
    <w:rsid w:val="00212D80"/>
    <w:rsid w:val="0023051E"/>
    <w:rsid w:val="00231E1B"/>
    <w:rsid w:val="002434B6"/>
    <w:rsid w:val="00251009"/>
    <w:rsid w:val="002528AF"/>
    <w:rsid w:val="00254F5E"/>
    <w:rsid w:val="00260A38"/>
    <w:rsid w:val="00296B23"/>
    <w:rsid w:val="002B58F4"/>
    <w:rsid w:val="002C32E6"/>
    <w:rsid w:val="002D6002"/>
    <w:rsid w:val="002D7818"/>
    <w:rsid w:val="002E2A74"/>
    <w:rsid w:val="002E3532"/>
    <w:rsid w:val="002E5CC1"/>
    <w:rsid w:val="002F4E9A"/>
    <w:rsid w:val="00315D1C"/>
    <w:rsid w:val="00354EFF"/>
    <w:rsid w:val="003615FD"/>
    <w:rsid w:val="003616FA"/>
    <w:rsid w:val="00365600"/>
    <w:rsid w:val="00367E16"/>
    <w:rsid w:val="0037560B"/>
    <w:rsid w:val="00375CAC"/>
    <w:rsid w:val="00390800"/>
    <w:rsid w:val="00396043"/>
    <w:rsid w:val="00397B45"/>
    <w:rsid w:val="003A6711"/>
    <w:rsid w:val="003B5DCE"/>
    <w:rsid w:val="003B692D"/>
    <w:rsid w:val="003B7629"/>
    <w:rsid w:val="003D09BF"/>
    <w:rsid w:val="003D5846"/>
    <w:rsid w:val="003E5358"/>
    <w:rsid w:val="003E7D20"/>
    <w:rsid w:val="003F0DB4"/>
    <w:rsid w:val="003F7404"/>
    <w:rsid w:val="00410A2C"/>
    <w:rsid w:val="004216BF"/>
    <w:rsid w:val="0042373E"/>
    <w:rsid w:val="004238AE"/>
    <w:rsid w:val="00425011"/>
    <w:rsid w:val="004316A3"/>
    <w:rsid w:val="004443A1"/>
    <w:rsid w:val="00465DD5"/>
    <w:rsid w:val="0047320D"/>
    <w:rsid w:val="00473890"/>
    <w:rsid w:val="00477AFC"/>
    <w:rsid w:val="00481D89"/>
    <w:rsid w:val="00483A8B"/>
    <w:rsid w:val="00484A3B"/>
    <w:rsid w:val="00494219"/>
    <w:rsid w:val="00497222"/>
    <w:rsid w:val="004B35B9"/>
    <w:rsid w:val="004B4FDC"/>
    <w:rsid w:val="004B71AA"/>
    <w:rsid w:val="004B7A11"/>
    <w:rsid w:val="004C2C6D"/>
    <w:rsid w:val="004D27B7"/>
    <w:rsid w:val="004D79F4"/>
    <w:rsid w:val="005018FF"/>
    <w:rsid w:val="005078D1"/>
    <w:rsid w:val="00512840"/>
    <w:rsid w:val="00523160"/>
    <w:rsid w:val="005235A0"/>
    <w:rsid w:val="00525831"/>
    <w:rsid w:val="00533315"/>
    <w:rsid w:val="00540E73"/>
    <w:rsid w:val="00541128"/>
    <w:rsid w:val="0054623D"/>
    <w:rsid w:val="00546327"/>
    <w:rsid w:val="0055155B"/>
    <w:rsid w:val="00555EBF"/>
    <w:rsid w:val="0057100D"/>
    <w:rsid w:val="005747CC"/>
    <w:rsid w:val="00576457"/>
    <w:rsid w:val="005823B5"/>
    <w:rsid w:val="005831AC"/>
    <w:rsid w:val="00592F44"/>
    <w:rsid w:val="005942D6"/>
    <w:rsid w:val="005A199D"/>
    <w:rsid w:val="005A4B58"/>
    <w:rsid w:val="005A7A5D"/>
    <w:rsid w:val="005B7311"/>
    <w:rsid w:val="005B760E"/>
    <w:rsid w:val="005E134A"/>
    <w:rsid w:val="005E62C6"/>
    <w:rsid w:val="005E6BB9"/>
    <w:rsid w:val="005E7BF9"/>
    <w:rsid w:val="005F4167"/>
    <w:rsid w:val="006050BF"/>
    <w:rsid w:val="006115F9"/>
    <w:rsid w:val="00615C75"/>
    <w:rsid w:val="00623B64"/>
    <w:rsid w:val="00624F1C"/>
    <w:rsid w:val="00627F80"/>
    <w:rsid w:val="00633327"/>
    <w:rsid w:val="00636E98"/>
    <w:rsid w:val="0064179B"/>
    <w:rsid w:val="00644794"/>
    <w:rsid w:val="00650C19"/>
    <w:rsid w:val="00653722"/>
    <w:rsid w:val="006548D8"/>
    <w:rsid w:val="006844A2"/>
    <w:rsid w:val="00687FF3"/>
    <w:rsid w:val="00695C90"/>
    <w:rsid w:val="006A29EA"/>
    <w:rsid w:val="006A5994"/>
    <w:rsid w:val="006A6C5B"/>
    <w:rsid w:val="006B197D"/>
    <w:rsid w:val="006B27D2"/>
    <w:rsid w:val="006C70BC"/>
    <w:rsid w:val="006E024A"/>
    <w:rsid w:val="006E1BA3"/>
    <w:rsid w:val="006F0DAC"/>
    <w:rsid w:val="00700C73"/>
    <w:rsid w:val="00700F4E"/>
    <w:rsid w:val="0070313E"/>
    <w:rsid w:val="00714BAE"/>
    <w:rsid w:val="00732268"/>
    <w:rsid w:val="00745E2E"/>
    <w:rsid w:val="00751551"/>
    <w:rsid w:val="007523A3"/>
    <w:rsid w:val="0078166A"/>
    <w:rsid w:val="0078590F"/>
    <w:rsid w:val="007911A9"/>
    <w:rsid w:val="007946C4"/>
    <w:rsid w:val="007B323E"/>
    <w:rsid w:val="007C15CB"/>
    <w:rsid w:val="007C35DD"/>
    <w:rsid w:val="007D7DB6"/>
    <w:rsid w:val="00801C33"/>
    <w:rsid w:val="0080423D"/>
    <w:rsid w:val="008059D9"/>
    <w:rsid w:val="00821AEA"/>
    <w:rsid w:val="0082393A"/>
    <w:rsid w:val="00823B07"/>
    <w:rsid w:val="00823F50"/>
    <w:rsid w:val="00825B6D"/>
    <w:rsid w:val="00827941"/>
    <w:rsid w:val="00850B40"/>
    <w:rsid w:val="00891363"/>
    <w:rsid w:val="00891B7D"/>
    <w:rsid w:val="00893A88"/>
    <w:rsid w:val="008A5768"/>
    <w:rsid w:val="008B1F7E"/>
    <w:rsid w:val="008D2C59"/>
    <w:rsid w:val="008E5ACB"/>
    <w:rsid w:val="008F5BA5"/>
    <w:rsid w:val="00901FA8"/>
    <w:rsid w:val="0090684A"/>
    <w:rsid w:val="00907139"/>
    <w:rsid w:val="0092192F"/>
    <w:rsid w:val="00922491"/>
    <w:rsid w:val="00930022"/>
    <w:rsid w:val="0093171F"/>
    <w:rsid w:val="0093485E"/>
    <w:rsid w:val="00936290"/>
    <w:rsid w:val="00944A0D"/>
    <w:rsid w:val="00950FA1"/>
    <w:rsid w:val="00955572"/>
    <w:rsid w:val="00970C28"/>
    <w:rsid w:val="009727B4"/>
    <w:rsid w:val="00972A3B"/>
    <w:rsid w:val="0098475B"/>
    <w:rsid w:val="00990408"/>
    <w:rsid w:val="00993C4E"/>
    <w:rsid w:val="009A2C3D"/>
    <w:rsid w:val="009A57E4"/>
    <w:rsid w:val="009A65B5"/>
    <w:rsid w:val="009A6BEC"/>
    <w:rsid w:val="009A75B6"/>
    <w:rsid w:val="009C1061"/>
    <w:rsid w:val="009C53C7"/>
    <w:rsid w:val="009D3549"/>
    <w:rsid w:val="009E082F"/>
    <w:rsid w:val="009E1359"/>
    <w:rsid w:val="009F5B79"/>
    <w:rsid w:val="00A04AEE"/>
    <w:rsid w:val="00A058A3"/>
    <w:rsid w:val="00A06C60"/>
    <w:rsid w:val="00A20786"/>
    <w:rsid w:val="00A22903"/>
    <w:rsid w:val="00A3393A"/>
    <w:rsid w:val="00A37B93"/>
    <w:rsid w:val="00A37E49"/>
    <w:rsid w:val="00A4078F"/>
    <w:rsid w:val="00A52549"/>
    <w:rsid w:val="00A67375"/>
    <w:rsid w:val="00A75A01"/>
    <w:rsid w:val="00A75A91"/>
    <w:rsid w:val="00A77924"/>
    <w:rsid w:val="00A83D56"/>
    <w:rsid w:val="00A911D2"/>
    <w:rsid w:val="00A927E4"/>
    <w:rsid w:val="00AA088F"/>
    <w:rsid w:val="00AA0913"/>
    <w:rsid w:val="00AA276D"/>
    <w:rsid w:val="00AA672C"/>
    <w:rsid w:val="00AB3EB1"/>
    <w:rsid w:val="00AC2FB2"/>
    <w:rsid w:val="00AE0178"/>
    <w:rsid w:val="00AE2C34"/>
    <w:rsid w:val="00AE4DA5"/>
    <w:rsid w:val="00AF054B"/>
    <w:rsid w:val="00AF0D9E"/>
    <w:rsid w:val="00AF468C"/>
    <w:rsid w:val="00B04A1F"/>
    <w:rsid w:val="00B15DD7"/>
    <w:rsid w:val="00B16427"/>
    <w:rsid w:val="00B34579"/>
    <w:rsid w:val="00B4341F"/>
    <w:rsid w:val="00B6272C"/>
    <w:rsid w:val="00B65EDA"/>
    <w:rsid w:val="00B67AD1"/>
    <w:rsid w:val="00B74EF0"/>
    <w:rsid w:val="00B80FF2"/>
    <w:rsid w:val="00B857EA"/>
    <w:rsid w:val="00B86DA3"/>
    <w:rsid w:val="00BA04D7"/>
    <w:rsid w:val="00BA51D6"/>
    <w:rsid w:val="00BB2D4B"/>
    <w:rsid w:val="00BB3D59"/>
    <w:rsid w:val="00BB6AEC"/>
    <w:rsid w:val="00BC54AB"/>
    <w:rsid w:val="00BD0244"/>
    <w:rsid w:val="00BE0A91"/>
    <w:rsid w:val="00BE2C78"/>
    <w:rsid w:val="00BF3737"/>
    <w:rsid w:val="00C07497"/>
    <w:rsid w:val="00C16A1A"/>
    <w:rsid w:val="00C17D84"/>
    <w:rsid w:val="00C31C92"/>
    <w:rsid w:val="00C3492E"/>
    <w:rsid w:val="00C45F23"/>
    <w:rsid w:val="00C64CC7"/>
    <w:rsid w:val="00C75073"/>
    <w:rsid w:val="00C81BEA"/>
    <w:rsid w:val="00C82498"/>
    <w:rsid w:val="00C83296"/>
    <w:rsid w:val="00C86482"/>
    <w:rsid w:val="00C90E17"/>
    <w:rsid w:val="00C9348C"/>
    <w:rsid w:val="00C96177"/>
    <w:rsid w:val="00CA1CF9"/>
    <w:rsid w:val="00CA2049"/>
    <w:rsid w:val="00CA4D7E"/>
    <w:rsid w:val="00CB6C60"/>
    <w:rsid w:val="00CC3CE7"/>
    <w:rsid w:val="00CD1391"/>
    <w:rsid w:val="00CD5E04"/>
    <w:rsid w:val="00CD7417"/>
    <w:rsid w:val="00CE2AB4"/>
    <w:rsid w:val="00CE6286"/>
    <w:rsid w:val="00CF2A2D"/>
    <w:rsid w:val="00CF325B"/>
    <w:rsid w:val="00CF45F2"/>
    <w:rsid w:val="00D0232A"/>
    <w:rsid w:val="00D065E4"/>
    <w:rsid w:val="00D254F2"/>
    <w:rsid w:val="00D26BB5"/>
    <w:rsid w:val="00D319CD"/>
    <w:rsid w:val="00D3472E"/>
    <w:rsid w:val="00D35C88"/>
    <w:rsid w:val="00D35C94"/>
    <w:rsid w:val="00D543C7"/>
    <w:rsid w:val="00D652F9"/>
    <w:rsid w:val="00D70F6F"/>
    <w:rsid w:val="00D75A06"/>
    <w:rsid w:val="00D76373"/>
    <w:rsid w:val="00D77DD3"/>
    <w:rsid w:val="00D83918"/>
    <w:rsid w:val="00D91C29"/>
    <w:rsid w:val="00D93214"/>
    <w:rsid w:val="00DB2F23"/>
    <w:rsid w:val="00DB6A9B"/>
    <w:rsid w:val="00DD49D9"/>
    <w:rsid w:val="00DF6171"/>
    <w:rsid w:val="00DF7553"/>
    <w:rsid w:val="00E02C38"/>
    <w:rsid w:val="00E06B30"/>
    <w:rsid w:val="00E250D2"/>
    <w:rsid w:val="00E2650B"/>
    <w:rsid w:val="00E504F4"/>
    <w:rsid w:val="00E5428C"/>
    <w:rsid w:val="00E6124E"/>
    <w:rsid w:val="00E63CE8"/>
    <w:rsid w:val="00E90559"/>
    <w:rsid w:val="00E9212E"/>
    <w:rsid w:val="00EA3DCC"/>
    <w:rsid w:val="00EC3E1B"/>
    <w:rsid w:val="00EC4ADE"/>
    <w:rsid w:val="00ED1B49"/>
    <w:rsid w:val="00ED6C27"/>
    <w:rsid w:val="00EE2479"/>
    <w:rsid w:val="00EE2FA2"/>
    <w:rsid w:val="00EE673B"/>
    <w:rsid w:val="00EF42E3"/>
    <w:rsid w:val="00F05791"/>
    <w:rsid w:val="00F21834"/>
    <w:rsid w:val="00F30550"/>
    <w:rsid w:val="00F436B1"/>
    <w:rsid w:val="00F472F9"/>
    <w:rsid w:val="00F73CCB"/>
    <w:rsid w:val="00F827DB"/>
    <w:rsid w:val="00F85B22"/>
    <w:rsid w:val="00FA1620"/>
    <w:rsid w:val="00FB6631"/>
    <w:rsid w:val="00FE04C7"/>
    <w:rsid w:val="00FF190A"/>
    <w:rsid w:val="00FF20FD"/>
    <w:rsid w:val="0262F7D8"/>
    <w:rsid w:val="02CE7A19"/>
    <w:rsid w:val="02F5E4E4"/>
    <w:rsid w:val="03D4A003"/>
    <w:rsid w:val="064DC372"/>
    <w:rsid w:val="09D48144"/>
    <w:rsid w:val="0BE6D53F"/>
    <w:rsid w:val="0D339220"/>
    <w:rsid w:val="110FCBD1"/>
    <w:rsid w:val="14DF30CD"/>
    <w:rsid w:val="185B2EF7"/>
    <w:rsid w:val="1943709C"/>
    <w:rsid w:val="19655A8E"/>
    <w:rsid w:val="19FD4C10"/>
    <w:rsid w:val="1A2E1751"/>
    <w:rsid w:val="1AE43ABE"/>
    <w:rsid w:val="1C5703C4"/>
    <w:rsid w:val="1CAF28B7"/>
    <w:rsid w:val="21568F13"/>
    <w:rsid w:val="21EAF246"/>
    <w:rsid w:val="231BE413"/>
    <w:rsid w:val="23677B4E"/>
    <w:rsid w:val="263E3ACF"/>
    <w:rsid w:val="27ACCD49"/>
    <w:rsid w:val="283CD354"/>
    <w:rsid w:val="2A258F02"/>
    <w:rsid w:val="2A910D35"/>
    <w:rsid w:val="2B3AEFB5"/>
    <w:rsid w:val="2C201698"/>
    <w:rsid w:val="2EBFFD7A"/>
    <w:rsid w:val="2F9E91DB"/>
    <w:rsid w:val="327AE9DE"/>
    <w:rsid w:val="34EDACD7"/>
    <w:rsid w:val="37B54CCE"/>
    <w:rsid w:val="3808CB01"/>
    <w:rsid w:val="383538D3"/>
    <w:rsid w:val="3945E008"/>
    <w:rsid w:val="3DE8A3AD"/>
    <w:rsid w:val="3E7A4E92"/>
    <w:rsid w:val="3E85AC77"/>
    <w:rsid w:val="400A6322"/>
    <w:rsid w:val="40F9FBDC"/>
    <w:rsid w:val="43747E57"/>
    <w:rsid w:val="438B82B4"/>
    <w:rsid w:val="43EBEA3D"/>
    <w:rsid w:val="4539E362"/>
    <w:rsid w:val="4815CDF2"/>
    <w:rsid w:val="481D6F52"/>
    <w:rsid w:val="48454A0E"/>
    <w:rsid w:val="4AAA1CDE"/>
    <w:rsid w:val="4B889951"/>
    <w:rsid w:val="4EF7F020"/>
    <w:rsid w:val="4F6974C5"/>
    <w:rsid w:val="502EFDFF"/>
    <w:rsid w:val="50A1567B"/>
    <w:rsid w:val="5210DF23"/>
    <w:rsid w:val="549155E7"/>
    <w:rsid w:val="54F45BA1"/>
    <w:rsid w:val="570E5994"/>
    <w:rsid w:val="58425B91"/>
    <w:rsid w:val="59387B6E"/>
    <w:rsid w:val="59E831F4"/>
    <w:rsid w:val="5B0CA159"/>
    <w:rsid w:val="5F71156A"/>
    <w:rsid w:val="6009AF07"/>
    <w:rsid w:val="6201F991"/>
    <w:rsid w:val="624B562E"/>
    <w:rsid w:val="62F1C061"/>
    <w:rsid w:val="649A1286"/>
    <w:rsid w:val="6592E269"/>
    <w:rsid w:val="65B3B782"/>
    <w:rsid w:val="65C00D80"/>
    <w:rsid w:val="6B70847E"/>
    <w:rsid w:val="6C6CCF26"/>
    <w:rsid w:val="6D309611"/>
    <w:rsid w:val="71D370F9"/>
    <w:rsid w:val="72B1E9E8"/>
    <w:rsid w:val="74F8A522"/>
    <w:rsid w:val="77E1631B"/>
    <w:rsid w:val="77FC8CF2"/>
    <w:rsid w:val="79523DCA"/>
    <w:rsid w:val="7A7EA782"/>
    <w:rsid w:val="7ABDF6CB"/>
    <w:rsid w:val="7B8F1B16"/>
    <w:rsid w:val="7BEF4D7D"/>
    <w:rsid w:val="7DB0E736"/>
    <w:rsid w:val="7F86C748"/>
    <w:rsid w:val="7FB7DC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C8792"/>
  <w15:chartTrackingRefBased/>
  <w15:docId w15:val="{5F5ECA25-CC8A-4453-B618-923E1A36B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3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34579"/>
    <w:pPr>
      <w:spacing w:after="0" w:line="240" w:lineRule="auto"/>
    </w:pPr>
  </w:style>
  <w:style w:type="paragraph" w:styleId="CommentSubject">
    <w:name w:val="annotation subject"/>
    <w:basedOn w:val="CommentText"/>
    <w:next w:val="CommentText"/>
    <w:link w:val="CommentSubjectChar"/>
    <w:uiPriority w:val="99"/>
    <w:semiHidden/>
    <w:unhideWhenUsed/>
    <w:rsid w:val="00AF0D9E"/>
    <w:rPr>
      <w:b/>
      <w:bCs/>
    </w:rPr>
  </w:style>
  <w:style w:type="character" w:customStyle="1" w:styleId="CommentSubjectChar">
    <w:name w:val="Comment Subject Char"/>
    <w:basedOn w:val="CommentTextChar"/>
    <w:link w:val="CommentSubject"/>
    <w:uiPriority w:val="99"/>
    <w:semiHidden/>
    <w:rsid w:val="00AF0D9E"/>
    <w:rPr>
      <w:b/>
      <w:bCs/>
      <w:sz w:val="20"/>
      <w:szCs w:val="20"/>
    </w:rPr>
  </w:style>
  <w:style w:type="character" w:styleId="Strong">
    <w:name w:val="Strong"/>
    <w:basedOn w:val="DefaultParagraphFont"/>
    <w:uiPriority w:val="22"/>
    <w:qFormat/>
    <w:rsid w:val="008D2C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0805">
      <w:bodyDiv w:val="1"/>
      <w:marLeft w:val="0"/>
      <w:marRight w:val="0"/>
      <w:marTop w:val="0"/>
      <w:marBottom w:val="0"/>
      <w:divBdr>
        <w:top w:val="none" w:sz="0" w:space="0" w:color="auto"/>
        <w:left w:val="none" w:sz="0" w:space="0" w:color="auto"/>
        <w:bottom w:val="none" w:sz="0" w:space="0" w:color="auto"/>
        <w:right w:val="none" w:sz="0" w:space="0" w:color="auto"/>
      </w:divBdr>
    </w:div>
    <w:div w:id="106243731">
      <w:bodyDiv w:val="1"/>
      <w:marLeft w:val="0"/>
      <w:marRight w:val="0"/>
      <w:marTop w:val="0"/>
      <w:marBottom w:val="0"/>
      <w:divBdr>
        <w:top w:val="none" w:sz="0" w:space="0" w:color="auto"/>
        <w:left w:val="none" w:sz="0" w:space="0" w:color="auto"/>
        <w:bottom w:val="none" w:sz="0" w:space="0" w:color="auto"/>
        <w:right w:val="none" w:sz="0" w:space="0" w:color="auto"/>
      </w:divBdr>
    </w:div>
    <w:div w:id="190997482">
      <w:bodyDiv w:val="1"/>
      <w:marLeft w:val="0"/>
      <w:marRight w:val="0"/>
      <w:marTop w:val="0"/>
      <w:marBottom w:val="0"/>
      <w:divBdr>
        <w:top w:val="none" w:sz="0" w:space="0" w:color="auto"/>
        <w:left w:val="none" w:sz="0" w:space="0" w:color="auto"/>
        <w:bottom w:val="none" w:sz="0" w:space="0" w:color="auto"/>
        <w:right w:val="none" w:sz="0" w:space="0" w:color="auto"/>
      </w:divBdr>
    </w:div>
    <w:div w:id="193856875">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234708437">
      <w:bodyDiv w:val="1"/>
      <w:marLeft w:val="0"/>
      <w:marRight w:val="0"/>
      <w:marTop w:val="0"/>
      <w:marBottom w:val="0"/>
      <w:divBdr>
        <w:top w:val="none" w:sz="0" w:space="0" w:color="auto"/>
        <w:left w:val="none" w:sz="0" w:space="0" w:color="auto"/>
        <w:bottom w:val="none" w:sz="0" w:space="0" w:color="auto"/>
        <w:right w:val="none" w:sz="0" w:space="0" w:color="auto"/>
      </w:divBdr>
    </w:div>
    <w:div w:id="248928652">
      <w:bodyDiv w:val="1"/>
      <w:marLeft w:val="0"/>
      <w:marRight w:val="0"/>
      <w:marTop w:val="0"/>
      <w:marBottom w:val="0"/>
      <w:divBdr>
        <w:top w:val="none" w:sz="0" w:space="0" w:color="auto"/>
        <w:left w:val="none" w:sz="0" w:space="0" w:color="auto"/>
        <w:bottom w:val="none" w:sz="0" w:space="0" w:color="auto"/>
        <w:right w:val="none" w:sz="0" w:space="0" w:color="auto"/>
      </w:divBdr>
    </w:div>
    <w:div w:id="290597570">
      <w:bodyDiv w:val="1"/>
      <w:marLeft w:val="0"/>
      <w:marRight w:val="0"/>
      <w:marTop w:val="0"/>
      <w:marBottom w:val="0"/>
      <w:divBdr>
        <w:top w:val="none" w:sz="0" w:space="0" w:color="auto"/>
        <w:left w:val="none" w:sz="0" w:space="0" w:color="auto"/>
        <w:bottom w:val="none" w:sz="0" w:space="0" w:color="auto"/>
        <w:right w:val="none" w:sz="0" w:space="0" w:color="auto"/>
      </w:divBdr>
    </w:div>
    <w:div w:id="379597700">
      <w:bodyDiv w:val="1"/>
      <w:marLeft w:val="0"/>
      <w:marRight w:val="0"/>
      <w:marTop w:val="0"/>
      <w:marBottom w:val="0"/>
      <w:divBdr>
        <w:top w:val="none" w:sz="0" w:space="0" w:color="auto"/>
        <w:left w:val="none" w:sz="0" w:space="0" w:color="auto"/>
        <w:bottom w:val="none" w:sz="0" w:space="0" w:color="auto"/>
        <w:right w:val="none" w:sz="0" w:space="0" w:color="auto"/>
      </w:divBdr>
    </w:div>
    <w:div w:id="472021960">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2307473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55128140">
      <w:bodyDiv w:val="1"/>
      <w:marLeft w:val="0"/>
      <w:marRight w:val="0"/>
      <w:marTop w:val="0"/>
      <w:marBottom w:val="0"/>
      <w:divBdr>
        <w:top w:val="none" w:sz="0" w:space="0" w:color="auto"/>
        <w:left w:val="none" w:sz="0" w:space="0" w:color="auto"/>
        <w:bottom w:val="none" w:sz="0" w:space="0" w:color="auto"/>
        <w:right w:val="none" w:sz="0" w:space="0" w:color="auto"/>
      </w:divBdr>
    </w:div>
    <w:div w:id="782647623">
      <w:bodyDiv w:val="1"/>
      <w:marLeft w:val="0"/>
      <w:marRight w:val="0"/>
      <w:marTop w:val="0"/>
      <w:marBottom w:val="0"/>
      <w:divBdr>
        <w:top w:val="none" w:sz="0" w:space="0" w:color="auto"/>
        <w:left w:val="none" w:sz="0" w:space="0" w:color="auto"/>
        <w:bottom w:val="none" w:sz="0" w:space="0" w:color="auto"/>
        <w:right w:val="none" w:sz="0" w:space="0" w:color="auto"/>
      </w:divBdr>
    </w:div>
    <w:div w:id="850024274">
      <w:bodyDiv w:val="1"/>
      <w:marLeft w:val="0"/>
      <w:marRight w:val="0"/>
      <w:marTop w:val="0"/>
      <w:marBottom w:val="0"/>
      <w:divBdr>
        <w:top w:val="none" w:sz="0" w:space="0" w:color="auto"/>
        <w:left w:val="none" w:sz="0" w:space="0" w:color="auto"/>
        <w:bottom w:val="none" w:sz="0" w:space="0" w:color="auto"/>
        <w:right w:val="none" w:sz="0" w:space="0" w:color="auto"/>
      </w:divBdr>
    </w:div>
    <w:div w:id="867566229">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008943344">
      <w:bodyDiv w:val="1"/>
      <w:marLeft w:val="0"/>
      <w:marRight w:val="0"/>
      <w:marTop w:val="0"/>
      <w:marBottom w:val="0"/>
      <w:divBdr>
        <w:top w:val="none" w:sz="0" w:space="0" w:color="auto"/>
        <w:left w:val="none" w:sz="0" w:space="0" w:color="auto"/>
        <w:bottom w:val="none" w:sz="0" w:space="0" w:color="auto"/>
        <w:right w:val="none" w:sz="0" w:space="0" w:color="auto"/>
      </w:divBdr>
    </w:div>
    <w:div w:id="1078282214">
      <w:bodyDiv w:val="1"/>
      <w:marLeft w:val="0"/>
      <w:marRight w:val="0"/>
      <w:marTop w:val="0"/>
      <w:marBottom w:val="0"/>
      <w:divBdr>
        <w:top w:val="none" w:sz="0" w:space="0" w:color="auto"/>
        <w:left w:val="none" w:sz="0" w:space="0" w:color="auto"/>
        <w:bottom w:val="none" w:sz="0" w:space="0" w:color="auto"/>
        <w:right w:val="none" w:sz="0" w:space="0" w:color="auto"/>
      </w:divBdr>
    </w:div>
    <w:div w:id="1108233619">
      <w:bodyDiv w:val="1"/>
      <w:marLeft w:val="0"/>
      <w:marRight w:val="0"/>
      <w:marTop w:val="0"/>
      <w:marBottom w:val="0"/>
      <w:divBdr>
        <w:top w:val="none" w:sz="0" w:space="0" w:color="auto"/>
        <w:left w:val="none" w:sz="0" w:space="0" w:color="auto"/>
        <w:bottom w:val="none" w:sz="0" w:space="0" w:color="auto"/>
        <w:right w:val="none" w:sz="0" w:space="0" w:color="auto"/>
      </w:divBdr>
    </w:div>
    <w:div w:id="1170948869">
      <w:bodyDiv w:val="1"/>
      <w:marLeft w:val="0"/>
      <w:marRight w:val="0"/>
      <w:marTop w:val="0"/>
      <w:marBottom w:val="0"/>
      <w:divBdr>
        <w:top w:val="none" w:sz="0" w:space="0" w:color="auto"/>
        <w:left w:val="none" w:sz="0" w:space="0" w:color="auto"/>
        <w:bottom w:val="none" w:sz="0" w:space="0" w:color="auto"/>
        <w:right w:val="none" w:sz="0" w:space="0" w:color="auto"/>
      </w:divBdr>
    </w:div>
    <w:div w:id="1222911254">
      <w:bodyDiv w:val="1"/>
      <w:marLeft w:val="0"/>
      <w:marRight w:val="0"/>
      <w:marTop w:val="0"/>
      <w:marBottom w:val="0"/>
      <w:divBdr>
        <w:top w:val="none" w:sz="0" w:space="0" w:color="auto"/>
        <w:left w:val="none" w:sz="0" w:space="0" w:color="auto"/>
        <w:bottom w:val="none" w:sz="0" w:space="0" w:color="auto"/>
        <w:right w:val="none" w:sz="0" w:space="0" w:color="auto"/>
      </w:divBdr>
    </w:div>
    <w:div w:id="1251352662">
      <w:bodyDiv w:val="1"/>
      <w:marLeft w:val="0"/>
      <w:marRight w:val="0"/>
      <w:marTop w:val="0"/>
      <w:marBottom w:val="0"/>
      <w:divBdr>
        <w:top w:val="none" w:sz="0" w:space="0" w:color="auto"/>
        <w:left w:val="none" w:sz="0" w:space="0" w:color="auto"/>
        <w:bottom w:val="none" w:sz="0" w:space="0" w:color="auto"/>
        <w:right w:val="none" w:sz="0" w:space="0" w:color="auto"/>
      </w:divBdr>
    </w:div>
    <w:div w:id="1337613057">
      <w:bodyDiv w:val="1"/>
      <w:marLeft w:val="0"/>
      <w:marRight w:val="0"/>
      <w:marTop w:val="0"/>
      <w:marBottom w:val="0"/>
      <w:divBdr>
        <w:top w:val="none" w:sz="0" w:space="0" w:color="auto"/>
        <w:left w:val="none" w:sz="0" w:space="0" w:color="auto"/>
        <w:bottom w:val="none" w:sz="0" w:space="0" w:color="auto"/>
        <w:right w:val="none" w:sz="0" w:space="0" w:color="auto"/>
      </w:divBdr>
    </w:div>
    <w:div w:id="1412239202">
      <w:bodyDiv w:val="1"/>
      <w:marLeft w:val="0"/>
      <w:marRight w:val="0"/>
      <w:marTop w:val="0"/>
      <w:marBottom w:val="0"/>
      <w:divBdr>
        <w:top w:val="none" w:sz="0" w:space="0" w:color="auto"/>
        <w:left w:val="none" w:sz="0" w:space="0" w:color="auto"/>
        <w:bottom w:val="none" w:sz="0" w:space="0" w:color="auto"/>
        <w:right w:val="none" w:sz="0" w:space="0" w:color="auto"/>
      </w:divBdr>
    </w:div>
    <w:div w:id="1479105241">
      <w:bodyDiv w:val="1"/>
      <w:marLeft w:val="0"/>
      <w:marRight w:val="0"/>
      <w:marTop w:val="0"/>
      <w:marBottom w:val="0"/>
      <w:divBdr>
        <w:top w:val="none" w:sz="0" w:space="0" w:color="auto"/>
        <w:left w:val="none" w:sz="0" w:space="0" w:color="auto"/>
        <w:bottom w:val="none" w:sz="0" w:space="0" w:color="auto"/>
        <w:right w:val="none" w:sz="0" w:space="0" w:color="auto"/>
      </w:divBdr>
    </w:div>
    <w:div w:id="1525363180">
      <w:bodyDiv w:val="1"/>
      <w:marLeft w:val="0"/>
      <w:marRight w:val="0"/>
      <w:marTop w:val="0"/>
      <w:marBottom w:val="0"/>
      <w:divBdr>
        <w:top w:val="none" w:sz="0" w:space="0" w:color="auto"/>
        <w:left w:val="none" w:sz="0" w:space="0" w:color="auto"/>
        <w:bottom w:val="none" w:sz="0" w:space="0" w:color="auto"/>
        <w:right w:val="none" w:sz="0" w:space="0" w:color="auto"/>
      </w:divBdr>
    </w:div>
    <w:div w:id="1603685093">
      <w:bodyDiv w:val="1"/>
      <w:marLeft w:val="0"/>
      <w:marRight w:val="0"/>
      <w:marTop w:val="0"/>
      <w:marBottom w:val="0"/>
      <w:divBdr>
        <w:top w:val="none" w:sz="0" w:space="0" w:color="auto"/>
        <w:left w:val="none" w:sz="0" w:space="0" w:color="auto"/>
        <w:bottom w:val="none" w:sz="0" w:space="0" w:color="auto"/>
        <w:right w:val="none" w:sz="0" w:space="0" w:color="auto"/>
      </w:divBdr>
    </w:div>
    <w:div w:id="1649893987">
      <w:bodyDiv w:val="1"/>
      <w:marLeft w:val="0"/>
      <w:marRight w:val="0"/>
      <w:marTop w:val="0"/>
      <w:marBottom w:val="0"/>
      <w:divBdr>
        <w:top w:val="none" w:sz="0" w:space="0" w:color="auto"/>
        <w:left w:val="none" w:sz="0" w:space="0" w:color="auto"/>
        <w:bottom w:val="none" w:sz="0" w:space="0" w:color="auto"/>
        <w:right w:val="none" w:sz="0" w:space="0" w:color="auto"/>
      </w:divBdr>
    </w:div>
    <w:div w:id="1682391756">
      <w:bodyDiv w:val="1"/>
      <w:marLeft w:val="0"/>
      <w:marRight w:val="0"/>
      <w:marTop w:val="0"/>
      <w:marBottom w:val="0"/>
      <w:divBdr>
        <w:top w:val="none" w:sz="0" w:space="0" w:color="auto"/>
        <w:left w:val="none" w:sz="0" w:space="0" w:color="auto"/>
        <w:bottom w:val="none" w:sz="0" w:space="0" w:color="auto"/>
        <w:right w:val="none" w:sz="0" w:space="0" w:color="auto"/>
      </w:divBdr>
    </w:div>
    <w:div w:id="2066054371">
      <w:bodyDiv w:val="1"/>
      <w:marLeft w:val="0"/>
      <w:marRight w:val="0"/>
      <w:marTop w:val="0"/>
      <w:marBottom w:val="0"/>
      <w:divBdr>
        <w:top w:val="none" w:sz="0" w:space="0" w:color="auto"/>
        <w:left w:val="none" w:sz="0" w:space="0" w:color="auto"/>
        <w:bottom w:val="none" w:sz="0" w:space="0" w:color="auto"/>
        <w:right w:val="none" w:sz="0" w:space="0" w:color="auto"/>
      </w:divBdr>
    </w:div>
    <w:div w:id="2081781573">
      <w:bodyDiv w:val="1"/>
      <w:marLeft w:val="0"/>
      <w:marRight w:val="0"/>
      <w:marTop w:val="0"/>
      <w:marBottom w:val="0"/>
      <w:divBdr>
        <w:top w:val="none" w:sz="0" w:space="0" w:color="auto"/>
        <w:left w:val="none" w:sz="0" w:space="0" w:color="auto"/>
        <w:bottom w:val="none" w:sz="0" w:space="0" w:color="auto"/>
        <w:right w:val="none" w:sz="0" w:space="0" w:color="auto"/>
      </w:divBdr>
    </w:div>
    <w:div w:id="2086339738">
      <w:bodyDiv w:val="1"/>
      <w:marLeft w:val="0"/>
      <w:marRight w:val="0"/>
      <w:marTop w:val="0"/>
      <w:marBottom w:val="0"/>
      <w:divBdr>
        <w:top w:val="none" w:sz="0" w:space="0" w:color="auto"/>
        <w:left w:val="none" w:sz="0" w:space="0" w:color="auto"/>
        <w:bottom w:val="none" w:sz="0" w:space="0" w:color="auto"/>
        <w:right w:val="none" w:sz="0" w:space="0" w:color="auto"/>
      </w:divBdr>
    </w:div>
    <w:div w:id="211500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exeter.ac.uk/wp-content/uploads/2024/07/2024EI047-Devon-Housing-Commission-Final-Report-v8.pdf" TargetMode="External"/><Relationship Id="rId18" Type="http://schemas.openxmlformats.org/officeDocument/2006/relationships/hyperlink" Target="https://devoncommunities.org.uk/case-studies" TargetMode="External"/><Relationship Id="rId26" Type="http://schemas.openxmlformats.org/officeDocument/2006/relationships/hyperlink" Target="https://democracy.plymouth.gov.uk/documents/s155892/Devon%2010%20Year%20Plan%20engagement%20findings.pdf" TargetMode="External"/><Relationship Id="rId39" Type="http://schemas.openxmlformats.org/officeDocument/2006/relationships/header" Target="header3.xml"/><Relationship Id="rId21" Type="http://schemas.openxmlformats.org/officeDocument/2006/relationships/hyperlink" Target="https://www.kingsfund.org.uk/" TargetMode="External"/><Relationship Id="rId34" Type="http://schemas.openxmlformats.org/officeDocument/2006/relationships/hyperlink" Target="https://www.devonhealthandwellbeing.org.uk/library/"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evonhealthandwellbeing.org.uk/aphr/" TargetMode="External"/><Relationship Id="rId20" Type="http://schemas.openxmlformats.org/officeDocument/2006/relationships/hyperlink" Target="https://www.royaldevon.nhs.uk/media/zlojfwle/health-inequalities-strategy.pdf" TargetMode="External"/><Relationship Id="rId29" Type="http://schemas.openxmlformats.org/officeDocument/2006/relationships/hyperlink" Target="https://www.devonhealthandwellbeing.org.uk/aph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vonhealthandwellbeing.org.uk/jsna/" TargetMode="External"/><Relationship Id="rId24" Type="http://schemas.openxmlformats.org/officeDocument/2006/relationships/hyperlink" Target="https://www.devoncommunities.org.uk/" TargetMode="External"/><Relationship Id="rId32" Type="http://schemas.openxmlformats.org/officeDocument/2006/relationships/hyperlink" Target="https://www.naturerecoverydevon.org.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evoncf.com/latest-news/state-of-the-sector-survey/" TargetMode="External"/><Relationship Id="rId23" Type="http://schemas.openxmlformats.org/officeDocument/2006/relationships/hyperlink" Target="https://www.devonhealthandwellbeing.org.uk/public-health/public-health-dashboards/digital-exclusion/" TargetMode="External"/><Relationship Id="rId28" Type="http://schemas.openxmlformats.org/officeDocument/2006/relationships/hyperlink" Target="https://committees.parliament.uk/writtenevidence/119805/pdf/" TargetMode="External"/><Relationship Id="rId36" Type="http://schemas.openxmlformats.org/officeDocument/2006/relationships/header" Target="header2.xml"/><Relationship Id="rId10" Type="http://schemas.openxmlformats.org/officeDocument/2006/relationships/hyperlink" Target="https://www.devoncommunities.org.uk/" TargetMode="External"/><Relationship Id="rId19" Type="http://schemas.openxmlformats.org/officeDocument/2006/relationships/hyperlink" Target="https://onedevon.org.uk/our-work/services-and-support/health-inequalities/" TargetMode="External"/><Relationship Id="rId31" Type="http://schemas.openxmlformats.org/officeDocument/2006/relationships/hyperlink" Target="https://www.devoncommunities.org.uk/projects/connecting-people-and-landscapes-phase-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mocracy.plymouth.gov.uk/documents/s155892/Devon%2010%20Year%20Plan%20engagement%20findings.pdf" TargetMode="External"/><Relationship Id="rId22" Type="http://schemas.openxmlformats.org/officeDocument/2006/relationships/hyperlink" Target="https://www.devonhealthandwellbeing.org.uk/jsna/" TargetMode="External"/><Relationship Id="rId27" Type="http://schemas.openxmlformats.org/officeDocument/2006/relationships/hyperlink" Target="https://www.royaldevon.nhs.uk/media/zlojfwle/health-inequalities-strategy.pdf" TargetMode="External"/><Relationship Id="rId30" Type="http://schemas.openxmlformats.org/officeDocument/2006/relationships/hyperlink" Target="https://www.devoncommunities.org.uk/"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devonhealthandwellbeing.org.uk/aphr/" TargetMode="External"/><Relationship Id="rId17" Type="http://schemas.openxmlformats.org/officeDocument/2006/relationships/hyperlink" Target="https://www.devonhealthandwellbeing.org.uk/jsna/" TargetMode="External"/><Relationship Id="rId25" Type="http://schemas.openxmlformats.org/officeDocument/2006/relationships/hyperlink" Target="https://devoncommunities.org.uk/case-studies" TargetMode="External"/><Relationship Id="rId33" Type="http://schemas.openxmlformats.org/officeDocument/2006/relationships/hyperlink" Target="https://www.devonhealthandwellbeing.org.uk/public-health-dashboards/" TargetMode="External"/><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18e7e6222753f332930e4468b62a2da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649ede5b44ea5b6d5d1acdc9f3d35939"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DA758-6ABD-4552-A072-CC57E0376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C00ACF-E451-4AF1-9E45-BC8DB028265A}">
  <ds:schemaRefs>
    <ds:schemaRef ds:uri="http://schemas.microsoft.com/sharepoint/v3/contenttype/forms"/>
  </ds:schemaRefs>
</ds:datastoreItem>
</file>

<file path=customXml/itemProps3.xml><?xml version="1.0" encoding="utf-8"?>
<ds:datastoreItem xmlns:ds="http://schemas.openxmlformats.org/officeDocument/2006/customXml" ds:itemID="{82A3FBF8-42EF-4109-B667-1783DE228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3010</Words>
  <Characters>17158</Characters>
  <Application>Microsoft Office Word</Application>
  <DocSecurity>4</DocSecurity>
  <Lines>142</Lines>
  <Paragraphs>40</Paragraphs>
  <ScaleCrop>false</ScaleCrop>
  <Company/>
  <LinksUpToDate>false</LinksUpToDate>
  <CharactersWithSpaces>20128</CharactersWithSpaces>
  <SharedDoc>false</SharedDoc>
  <HLinks>
    <vt:vector size="150" baseType="variant">
      <vt:variant>
        <vt:i4>3604607</vt:i4>
      </vt:variant>
      <vt:variant>
        <vt:i4>72</vt:i4>
      </vt:variant>
      <vt:variant>
        <vt:i4>0</vt:i4>
      </vt:variant>
      <vt:variant>
        <vt:i4>5</vt:i4>
      </vt:variant>
      <vt:variant>
        <vt:lpwstr>https://www.devonhealthandwellbeing.org.uk/library/</vt:lpwstr>
      </vt:variant>
      <vt:variant>
        <vt:lpwstr/>
      </vt:variant>
      <vt:variant>
        <vt:i4>4784219</vt:i4>
      </vt:variant>
      <vt:variant>
        <vt:i4>69</vt:i4>
      </vt:variant>
      <vt:variant>
        <vt:i4>0</vt:i4>
      </vt:variant>
      <vt:variant>
        <vt:i4>5</vt:i4>
      </vt:variant>
      <vt:variant>
        <vt:lpwstr>https://www.devonhealthandwellbeing.org.uk/public-health-dashboards/</vt:lpwstr>
      </vt:variant>
      <vt:variant>
        <vt:lpwstr/>
      </vt:variant>
      <vt:variant>
        <vt:i4>3932220</vt:i4>
      </vt:variant>
      <vt:variant>
        <vt:i4>66</vt:i4>
      </vt:variant>
      <vt:variant>
        <vt:i4>0</vt:i4>
      </vt:variant>
      <vt:variant>
        <vt:i4>5</vt:i4>
      </vt:variant>
      <vt:variant>
        <vt:lpwstr>https://www.naturerecoverydevon.org.uk/</vt:lpwstr>
      </vt:variant>
      <vt:variant>
        <vt:lpwstr/>
      </vt:variant>
      <vt:variant>
        <vt:i4>5505049</vt:i4>
      </vt:variant>
      <vt:variant>
        <vt:i4>63</vt:i4>
      </vt:variant>
      <vt:variant>
        <vt:i4>0</vt:i4>
      </vt:variant>
      <vt:variant>
        <vt:i4>5</vt:i4>
      </vt:variant>
      <vt:variant>
        <vt:lpwstr>https://www.devoncommunities.org.uk/projects/connecting-people-and-landscapes-phase-2</vt:lpwstr>
      </vt:variant>
      <vt:variant>
        <vt:lpwstr/>
      </vt:variant>
      <vt:variant>
        <vt:i4>1572952</vt:i4>
      </vt:variant>
      <vt:variant>
        <vt:i4>60</vt:i4>
      </vt:variant>
      <vt:variant>
        <vt:i4>0</vt:i4>
      </vt:variant>
      <vt:variant>
        <vt:i4>5</vt:i4>
      </vt:variant>
      <vt:variant>
        <vt:lpwstr>https://www.devoncommunities.org.uk/</vt:lpwstr>
      </vt:variant>
      <vt:variant>
        <vt:lpwstr/>
      </vt:variant>
      <vt:variant>
        <vt:i4>458772</vt:i4>
      </vt:variant>
      <vt:variant>
        <vt:i4>57</vt:i4>
      </vt:variant>
      <vt:variant>
        <vt:i4>0</vt:i4>
      </vt:variant>
      <vt:variant>
        <vt:i4>5</vt:i4>
      </vt:variant>
      <vt:variant>
        <vt:lpwstr>https://www.devonhealthandwellbeing.org.uk/aphr/</vt:lpwstr>
      </vt:variant>
      <vt:variant>
        <vt:lpwstr/>
      </vt:variant>
      <vt:variant>
        <vt:i4>1900627</vt:i4>
      </vt:variant>
      <vt:variant>
        <vt:i4>54</vt:i4>
      </vt:variant>
      <vt:variant>
        <vt:i4>0</vt:i4>
      </vt:variant>
      <vt:variant>
        <vt:i4>5</vt:i4>
      </vt:variant>
      <vt:variant>
        <vt:lpwstr>https://committees.parliament.uk/writtenevidence/119805/pdf/</vt:lpwstr>
      </vt:variant>
      <vt:variant>
        <vt:lpwstr/>
      </vt:variant>
      <vt:variant>
        <vt:i4>5177415</vt:i4>
      </vt:variant>
      <vt:variant>
        <vt:i4>51</vt:i4>
      </vt:variant>
      <vt:variant>
        <vt:i4>0</vt:i4>
      </vt:variant>
      <vt:variant>
        <vt:i4>5</vt:i4>
      </vt:variant>
      <vt:variant>
        <vt:lpwstr>https://www.royaldevon.nhs.uk/media/zlojfwle/health-inequalities-strategy.pdf</vt:lpwstr>
      </vt:variant>
      <vt:variant>
        <vt:lpwstr/>
      </vt:variant>
      <vt:variant>
        <vt:i4>2424931</vt:i4>
      </vt:variant>
      <vt:variant>
        <vt:i4>48</vt:i4>
      </vt:variant>
      <vt:variant>
        <vt:i4>0</vt:i4>
      </vt:variant>
      <vt:variant>
        <vt:i4>5</vt:i4>
      </vt:variant>
      <vt:variant>
        <vt:lpwstr>https://democracy.plymouth.gov.uk/documents/s155892/Devon 10 Year Plan engagement findings.pdf</vt:lpwstr>
      </vt:variant>
      <vt:variant>
        <vt:lpwstr/>
      </vt:variant>
      <vt:variant>
        <vt:i4>5832720</vt:i4>
      </vt:variant>
      <vt:variant>
        <vt:i4>45</vt:i4>
      </vt:variant>
      <vt:variant>
        <vt:i4>0</vt:i4>
      </vt:variant>
      <vt:variant>
        <vt:i4>5</vt:i4>
      </vt:variant>
      <vt:variant>
        <vt:lpwstr>https://devoncommunities.org.uk/case-studies</vt:lpwstr>
      </vt:variant>
      <vt:variant>
        <vt:lpwstr/>
      </vt:variant>
      <vt:variant>
        <vt:i4>1572952</vt:i4>
      </vt:variant>
      <vt:variant>
        <vt:i4>42</vt:i4>
      </vt:variant>
      <vt:variant>
        <vt:i4>0</vt:i4>
      </vt:variant>
      <vt:variant>
        <vt:i4>5</vt:i4>
      </vt:variant>
      <vt:variant>
        <vt:lpwstr>https://www.devoncommunities.org.uk/</vt:lpwstr>
      </vt:variant>
      <vt:variant>
        <vt:lpwstr/>
      </vt:variant>
      <vt:variant>
        <vt:i4>1376284</vt:i4>
      </vt:variant>
      <vt:variant>
        <vt:i4>39</vt:i4>
      </vt:variant>
      <vt:variant>
        <vt:i4>0</vt:i4>
      </vt:variant>
      <vt:variant>
        <vt:i4>5</vt:i4>
      </vt:variant>
      <vt:variant>
        <vt:lpwstr>https://www.devonhealthandwellbeing.org.uk/public-health/public-health-dashboards/digital-exclusion/</vt:lpwstr>
      </vt:variant>
      <vt:variant>
        <vt:lpwstr/>
      </vt:variant>
      <vt:variant>
        <vt:i4>655364</vt:i4>
      </vt:variant>
      <vt:variant>
        <vt:i4>36</vt:i4>
      </vt:variant>
      <vt:variant>
        <vt:i4>0</vt:i4>
      </vt:variant>
      <vt:variant>
        <vt:i4>5</vt:i4>
      </vt:variant>
      <vt:variant>
        <vt:lpwstr>https://www.devonhealthandwellbeing.org.uk/jsna/</vt:lpwstr>
      </vt:variant>
      <vt:variant>
        <vt:lpwstr/>
      </vt:variant>
      <vt:variant>
        <vt:i4>5701722</vt:i4>
      </vt:variant>
      <vt:variant>
        <vt:i4>33</vt:i4>
      </vt:variant>
      <vt:variant>
        <vt:i4>0</vt:i4>
      </vt:variant>
      <vt:variant>
        <vt:i4>5</vt:i4>
      </vt:variant>
      <vt:variant>
        <vt:lpwstr>https://www.kingsfund.org.uk/</vt:lpwstr>
      </vt:variant>
      <vt:variant>
        <vt:lpwstr/>
      </vt:variant>
      <vt:variant>
        <vt:i4>5177415</vt:i4>
      </vt:variant>
      <vt:variant>
        <vt:i4>30</vt:i4>
      </vt:variant>
      <vt:variant>
        <vt:i4>0</vt:i4>
      </vt:variant>
      <vt:variant>
        <vt:i4>5</vt:i4>
      </vt:variant>
      <vt:variant>
        <vt:lpwstr>https://www.royaldevon.nhs.uk/media/zlojfwle/health-inequalities-strategy.pdf</vt:lpwstr>
      </vt:variant>
      <vt:variant>
        <vt:lpwstr/>
      </vt:variant>
      <vt:variant>
        <vt:i4>8126509</vt:i4>
      </vt:variant>
      <vt:variant>
        <vt:i4>27</vt:i4>
      </vt:variant>
      <vt:variant>
        <vt:i4>0</vt:i4>
      </vt:variant>
      <vt:variant>
        <vt:i4>5</vt:i4>
      </vt:variant>
      <vt:variant>
        <vt:lpwstr>https://onedevon.org.uk/our-work/services-and-support/health-inequalities/</vt:lpwstr>
      </vt:variant>
      <vt:variant>
        <vt:lpwstr/>
      </vt:variant>
      <vt:variant>
        <vt:i4>5832720</vt:i4>
      </vt:variant>
      <vt:variant>
        <vt:i4>24</vt:i4>
      </vt:variant>
      <vt:variant>
        <vt:i4>0</vt:i4>
      </vt:variant>
      <vt:variant>
        <vt:i4>5</vt:i4>
      </vt:variant>
      <vt:variant>
        <vt:lpwstr>https://devoncommunities.org.uk/case-studies</vt:lpwstr>
      </vt:variant>
      <vt:variant>
        <vt:lpwstr/>
      </vt:variant>
      <vt:variant>
        <vt:i4>655364</vt:i4>
      </vt:variant>
      <vt:variant>
        <vt:i4>21</vt:i4>
      </vt:variant>
      <vt:variant>
        <vt:i4>0</vt:i4>
      </vt:variant>
      <vt:variant>
        <vt:i4>5</vt:i4>
      </vt:variant>
      <vt:variant>
        <vt:lpwstr>https://www.devonhealthandwellbeing.org.uk/jsna/</vt:lpwstr>
      </vt:variant>
      <vt:variant>
        <vt:lpwstr/>
      </vt:variant>
      <vt:variant>
        <vt:i4>458772</vt:i4>
      </vt:variant>
      <vt:variant>
        <vt:i4>18</vt:i4>
      </vt:variant>
      <vt:variant>
        <vt:i4>0</vt:i4>
      </vt:variant>
      <vt:variant>
        <vt:i4>5</vt:i4>
      </vt:variant>
      <vt:variant>
        <vt:lpwstr>https://www.devonhealthandwellbeing.org.uk/aphr/</vt:lpwstr>
      </vt:variant>
      <vt:variant>
        <vt:lpwstr/>
      </vt:variant>
      <vt:variant>
        <vt:i4>2228339</vt:i4>
      </vt:variant>
      <vt:variant>
        <vt:i4>15</vt:i4>
      </vt:variant>
      <vt:variant>
        <vt:i4>0</vt:i4>
      </vt:variant>
      <vt:variant>
        <vt:i4>5</vt:i4>
      </vt:variant>
      <vt:variant>
        <vt:lpwstr>https://devoncf.com/latest-news/state-of-the-sector-survey/</vt:lpwstr>
      </vt:variant>
      <vt:variant>
        <vt:lpwstr/>
      </vt:variant>
      <vt:variant>
        <vt:i4>2424931</vt:i4>
      </vt:variant>
      <vt:variant>
        <vt:i4>12</vt:i4>
      </vt:variant>
      <vt:variant>
        <vt:i4>0</vt:i4>
      </vt:variant>
      <vt:variant>
        <vt:i4>5</vt:i4>
      </vt:variant>
      <vt:variant>
        <vt:lpwstr>https://democracy.plymouth.gov.uk/documents/s155892/Devon 10 Year Plan engagement findings.pdf</vt:lpwstr>
      </vt:variant>
      <vt:variant>
        <vt:lpwstr/>
      </vt:variant>
      <vt:variant>
        <vt:i4>3539049</vt:i4>
      </vt:variant>
      <vt:variant>
        <vt:i4>9</vt:i4>
      </vt:variant>
      <vt:variant>
        <vt:i4>0</vt:i4>
      </vt:variant>
      <vt:variant>
        <vt:i4>5</vt:i4>
      </vt:variant>
      <vt:variant>
        <vt:lpwstr>https://news.exeter.ac.uk/wp-content/uploads/2024/07/2024EI047-Devon-Housing-Commission-Final-Report-v8.pdf</vt:lpwstr>
      </vt:variant>
      <vt:variant>
        <vt:lpwstr/>
      </vt:variant>
      <vt:variant>
        <vt:i4>458772</vt:i4>
      </vt:variant>
      <vt:variant>
        <vt:i4>6</vt:i4>
      </vt:variant>
      <vt:variant>
        <vt:i4>0</vt:i4>
      </vt:variant>
      <vt:variant>
        <vt:i4>5</vt:i4>
      </vt:variant>
      <vt:variant>
        <vt:lpwstr>https://www.devonhealthandwellbeing.org.uk/aphr/</vt:lpwstr>
      </vt:variant>
      <vt:variant>
        <vt:lpwstr/>
      </vt:variant>
      <vt:variant>
        <vt:i4>655364</vt:i4>
      </vt:variant>
      <vt:variant>
        <vt:i4>3</vt:i4>
      </vt:variant>
      <vt:variant>
        <vt:i4>0</vt:i4>
      </vt:variant>
      <vt:variant>
        <vt:i4>5</vt:i4>
      </vt:variant>
      <vt:variant>
        <vt:lpwstr>https://www.devonhealthandwellbeing.org.uk/jsna/</vt:lpwstr>
      </vt:variant>
      <vt:variant>
        <vt:lpwstr/>
      </vt:variant>
      <vt:variant>
        <vt:i4>1572952</vt:i4>
      </vt:variant>
      <vt:variant>
        <vt:i4>0</vt:i4>
      </vt:variant>
      <vt:variant>
        <vt:i4>0</vt:i4>
      </vt:variant>
      <vt:variant>
        <vt:i4>5</vt:i4>
      </vt:variant>
      <vt:variant>
        <vt:lpwstr>https://www.devoncommunities.org.uk/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Maria Moloney-Lucey</cp:lastModifiedBy>
  <cp:revision>25</cp:revision>
  <dcterms:created xsi:type="dcterms:W3CDTF">2025-10-16T18:06:00Z</dcterms:created>
  <dcterms:modified xsi:type="dcterms:W3CDTF">2025-11-26T12:02:00Z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