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3FC55" w14:textId="77777777" w:rsidR="00615C75" w:rsidRDefault="00615C75">
      <w:pPr>
        <w:rPr>
          <w:b/>
          <w:bCs/>
        </w:rPr>
      </w:pPr>
    </w:p>
    <w:p w14:paraId="7002D916" w14:textId="018BA07F" w:rsidR="00182774" w:rsidRPr="00494219" w:rsidRDefault="00D72328">
      <w:pPr>
        <w:rPr>
          <w:b/>
          <w:bCs/>
          <w:sz w:val="28"/>
          <w:szCs w:val="28"/>
        </w:rPr>
      </w:pPr>
      <w:r>
        <w:rPr>
          <w:b/>
          <w:bCs/>
          <w:sz w:val="28"/>
          <w:szCs w:val="28"/>
        </w:rPr>
        <w:t>Ageing Well</w:t>
      </w:r>
      <w:r w:rsidR="005F4167" w:rsidRPr="00494219">
        <w:rPr>
          <w:b/>
          <w:bCs/>
          <w:sz w:val="28"/>
          <w:szCs w:val="28"/>
        </w:rPr>
        <w:t xml:space="preserve"> (2025)</w:t>
      </w:r>
    </w:p>
    <w:p w14:paraId="23AE653B" w14:textId="77777777" w:rsidR="00742CEB" w:rsidRDefault="00742CEB" w:rsidP="00A05F27">
      <w:r w:rsidRPr="00742CEB">
        <w:t xml:space="preserve">Ageing Well in the Joint Strategic Needs Assessment (JSNA) focuses on the health and wellbeing of people in later life, recognising the importance of supporting individuals to live healthier, more independent, and fulfilling lives as they age. </w:t>
      </w:r>
    </w:p>
    <w:p w14:paraId="4D3B5ED7" w14:textId="45D551C2" w:rsidR="00A05F27" w:rsidRDefault="00742CEB" w:rsidP="00A05F27">
      <w:r w:rsidRPr="00742CEB">
        <w:t>This phase of life encompasses key transitions</w:t>
      </w:r>
      <w:r>
        <w:t xml:space="preserve"> </w:t>
      </w:r>
      <w:r w:rsidRPr="00742CEB">
        <w:t>such as retirement, increasing frailty, and end-of-life care</w:t>
      </w:r>
      <w:r>
        <w:t xml:space="preserve"> </w:t>
      </w:r>
      <w:r w:rsidRPr="00742CEB">
        <w:t>that significantly influence a person’s physical health, mental wellbeing, social connectedness, and access to services. Promoting ageing well requires a whole-system approach that addresses inequalities, supports preventative action, and enables older adults to remain active and engaged in their communities.</w:t>
      </w:r>
    </w:p>
    <w:p w14:paraId="6A084EED" w14:textId="77777777" w:rsidR="00CA465B" w:rsidRDefault="00CA465B">
      <w:pPr>
        <w:rPr>
          <w:b/>
          <w:bCs/>
          <w:sz w:val="28"/>
          <w:szCs w:val="28"/>
        </w:rPr>
      </w:pPr>
    </w:p>
    <w:p w14:paraId="2D94766A" w14:textId="23551AB9" w:rsidR="00B15DD7" w:rsidRPr="00494219" w:rsidRDefault="003E7D20">
      <w:pPr>
        <w:rPr>
          <w:b/>
          <w:bCs/>
          <w:sz w:val="28"/>
          <w:szCs w:val="28"/>
        </w:rPr>
      </w:pPr>
      <w:r w:rsidRPr="00494219">
        <w:rPr>
          <w:b/>
          <w:bCs/>
          <w:sz w:val="28"/>
          <w:szCs w:val="28"/>
        </w:rPr>
        <w:t xml:space="preserve">JSNA Headline Dashboard </w:t>
      </w:r>
      <w:r w:rsidR="00E250D2" w:rsidRPr="00494219">
        <w:rPr>
          <w:b/>
          <w:bCs/>
          <w:sz w:val="28"/>
          <w:szCs w:val="28"/>
        </w:rPr>
        <w:t>Observations</w:t>
      </w:r>
    </w:p>
    <w:p w14:paraId="22892042" w14:textId="77777777" w:rsidR="006C67B3" w:rsidRDefault="006C67B3" w:rsidP="006C67B3">
      <w:r w:rsidRPr="006C67B3">
        <w:t xml:space="preserve">Devon has a growing and ageing population, with proportionately more older people compared to the England average. This demographic shift is shaped by longer life expectancy, internal migration, and the expansion of new housing developments. Currently, around 225,000 people in Devon are aged 65 and over, accounting for 26.7% of the total population. </w:t>
      </w:r>
    </w:p>
    <w:p w14:paraId="0CADA4E6" w14:textId="5B5C49E4" w:rsidR="006C67B3" w:rsidRPr="006C67B3" w:rsidRDefault="006C67B3" w:rsidP="006C67B3">
      <w:r w:rsidRPr="006C67B3">
        <w:t>By 2043, this is expected to rise to 32.1%, with the population aged 75 and over increasing from 13.7% to 18.4%</w:t>
      </w:r>
      <w:r w:rsidR="00BE5752">
        <w:t xml:space="preserve">, and the populated aged 85+ to </w:t>
      </w:r>
      <w:r w:rsidR="006001D0">
        <w:t>more than</w:t>
      </w:r>
      <w:r w:rsidR="00BE5752">
        <w:t xml:space="preserve"> double</w:t>
      </w:r>
      <w:r w:rsidRPr="006C67B3">
        <w:t>. Coastal and rural areas are ageing fastest, and the number of older adults is projected to reach 301,000, while the working-age population declines, reducing the carer to older person ratio from 2 to 1 to 1.7 to 1.</w:t>
      </w:r>
    </w:p>
    <w:p w14:paraId="0356D2C5" w14:textId="77777777" w:rsidR="006C67B3" w:rsidRDefault="006C67B3" w:rsidP="006C67B3">
      <w:r w:rsidRPr="006C67B3">
        <w:t xml:space="preserve">Life expectancy in Devon remains high, at 85 years for men and 87 for women, but healthy life expectancy is lower, around 77 and 79 years respectively. This means many people spend a decade or more in poor health. Progress in improving these outcomes has stalled over the past decade. </w:t>
      </w:r>
    </w:p>
    <w:p w14:paraId="7C9BD43B" w14:textId="14906A9D" w:rsidR="006C67B3" w:rsidRPr="006C67B3" w:rsidRDefault="006C67B3" w:rsidP="006C67B3">
      <w:r w:rsidRPr="006C67B3">
        <w:t>According to the Global Burden of Disease (2021), the leading risk factors influencing years lost to ill health, disability, or early death are dominated by behavioural factors, followed by metabolic and environmental risks. Behavioural risks are more prominent in younger age groups, but their cumulative impact becomes increasingly apparent from age 50 onwards, contributing to metabolic conditions and poorer health outcomes in later life. This highlights the downstream effects of lifestyle behaviours across the life course.</w:t>
      </w:r>
    </w:p>
    <w:p w14:paraId="0A76C73E" w14:textId="77777777" w:rsidR="006C67B3" w:rsidRDefault="006C67B3" w:rsidP="006C67B3">
      <w:r w:rsidRPr="006C67B3">
        <w:t xml:space="preserve">While longer life expectancy has been supported by technological advances and improved detection and treatment of illness, recent years have seen little change, marking the first stagnation in a century. This underscores the need for greater investment in prevention and action to improve the conditions in which people are born, grow, live, work, and age. </w:t>
      </w:r>
    </w:p>
    <w:p w14:paraId="0129E2FC" w14:textId="75F1B820" w:rsidR="006C67B3" w:rsidRPr="006C67B3" w:rsidRDefault="006C67B3" w:rsidP="006C67B3">
      <w:r w:rsidRPr="006C67B3">
        <w:t xml:space="preserve">The leading causes of ill health and early death in people aged 70 and over include cardiovascular disease, cancer, mental disorders, diabetes, and chronic kidney disease, many of which are preventable or manageable with early intervention. Dementia rates are rising, with a projected </w:t>
      </w:r>
      <w:r w:rsidR="00DF6A15">
        <w:t>51.4%</w:t>
      </w:r>
      <w:r w:rsidRPr="006C67B3">
        <w:t xml:space="preserve"> percent increase by 2040</w:t>
      </w:r>
      <w:r w:rsidR="00316CE7">
        <w:t xml:space="preserve"> for those aged 75+ years, outpacing the population growth for the same age group, highlighting the scale of future health and care challenges</w:t>
      </w:r>
      <w:r w:rsidRPr="006C67B3">
        <w:t>. Devon’s current diagnosis rate is 55.6 percent, meaning nearly half of those living with dementia remain undiagnosed. The economic cost of dementia is expected to</w:t>
      </w:r>
      <w:r w:rsidR="006C7E08">
        <w:t xml:space="preserve"> be more than double </w:t>
      </w:r>
      <w:r w:rsidRPr="006C67B3">
        <w:t>by 2040.</w:t>
      </w:r>
      <w:r w:rsidR="005B34EF">
        <w:t xml:space="preserve"> This increase reflects the growing prevalence of dementia and the associated health, social care, and </w:t>
      </w:r>
      <w:r w:rsidR="005B34EF">
        <w:lastRenderedPageBreak/>
        <w:t>unpaid care costs. Unpaid</w:t>
      </w:r>
      <w:r w:rsidR="00FA26C1">
        <w:t xml:space="preserve"> care and social care will continue to account for </w:t>
      </w:r>
      <w:proofErr w:type="gramStart"/>
      <w:r w:rsidR="00FA26C1">
        <w:t>the majority of</w:t>
      </w:r>
      <w:proofErr w:type="gramEnd"/>
      <w:r w:rsidR="00FA26C1">
        <w:t xml:space="preserve"> this burden.</w:t>
      </w:r>
    </w:p>
    <w:p w14:paraId="1797DA6B" w14:textId="77777777" w:rsidR="006C67B3" w:rsidRDefault="006C67B3" w:rsidP="006C67B3">
      <w:r w:rsidRPr="006C67B3">
        <w:t xml:space="preserve">Around 67 percent of people aged 74 and over live with multiple long-term conditions, with complex multi-morbidity more common and starting earlier in deprived areas. This increases demand for emergency care and long-term support. </w:t>
      </w:r>
    </w:p>
    <w:p w14:paraId="3EF5814A" w14:textId="1C0D2089" w:rsidR="006C67B3" w:rsidRPr="006C67B3" w:rsidRDefault="006C67B3" w:rsidP="006C67B3">
      <w:r w:rsidRPr="006C67B3">
        <w:t xml:space="preserve">Digital exclusion also poses a significant risk to health equity, especially for older adults in rural and coastal areas where access to services is already limited. North Devon, Torridge, and West Devon are particularly affected due to poor connectivity, ageing populations, </w:t>
      </w:r>
      <w:r w:rsidR="00093E75">
        <w:t xml:space="preserve">transport, </w:t>
      </w:r>
      <w:r w:rsidRPr="006C67B3">
        <w:t>and lower digital literacy, making it harder for older people to access online health and wellbeing services.</w:t>
      </w:r>
    </w:p>
    <w:p w14:paraId="002FF2FD" w14:textId="037FD5F0" w:rsidR="006C67B3" w:rsidRDefault="006C67B3" w:rsidP="006C67B3">
      <w:r>
        <w:t>Housing plays a vital role in supporting healthy ageing, yet many older adults in Devon face significant challenges related to the quality, suitability, and accessibility of their homes. A substantial proportion of housing in the county, particularly in rural and private rented sectors, contains health and safety hazards such as excess cold, damp, and fall risks.</w:t>
      </w:r>
      <w:r w:rsidR="006310B6">
        <w:t xml:space="preserve"> There is also a lack of appropriate rural housing options for older people who wish to downsize </w:t>
      </w:r>
      <w:r w:rsidR="00451780">
        <w:t xml:space="preserve">to remain in their village or parish to retain their family and friends support networks. </w:t>
      </w:r>
      <w:r>
        <w:t xml:space="preserve"> These issues are compounded by high levels of fuel poverty, especially in areas without access to mains gas, where older residents often rely on costly and inefficient heating systems. This not only affects physical health but also contributes to social isolation and financial stress. </w:t>
      </w:r>
    </w:p>
    <w:p w14:paraId="282D301B" w14:textId="0A682489" w:rsidR="009E1246" w:rsidRDefault="006C67B3" w:rsidP="006C67B3">
      <w:pPr>
        <w:rPr>
          <w:b/>
          <w:bCs/>
        </w:rPr>
      </w:pPr>
      <w:r>
        <w:t>Accessibility is another key concern, with many older people living in homes that cannot be adapted to meet changing mobility needs. The demand for more suitable housing, and delays in making necessary adaptations can lead to premature entry into residential care, which carries significant personal and financial costs. Falls in the home are a major issue, with numbers expected to rise sharply in the coming years, placing further strain on health and care services. These housing challenges are particularly acute in rural areas, where infrastructure gaps and limited access to support services</w:t>
      </w:r>
      <w:r w:rsidR="003743D0">
        <w:t>, as well as older, less efficient housing stock</w:t>
      </w:r>
      <w:r>
        <w:t xml:space="preserve"> further increase vulnerability among older adults. Addressing these issues is essential to enable people to age well in place and maintain independence for as long as possible.</w:t>
      </w:r>
      <w:r w:rsidRPr="7C85D7C9">
        <w:rPr>
          <w:b/>
          <w:bCs/>
        </w:rPr>
        <w:br w:type="page"/>
      </w:r>
    </w:p>
    <w:p w14:paraId="70E94D3B" w14:textId="77777777" w:rsidR="009E1246" w:rsidRPr="002A4E3D" w:rsidRDefault="009E1246">
      <w:pPr>
        <w:rPr>
          <w:rFonts w:cstheme="minorHAnsi"/>
          <w:b/>
          <w:bCs/>
        </w:rPr>
      </w:pPr>
    </w:p>
    <w:p w14:paraId="5E91AF48" w14:textId="057F5D63" w:rsidR="00C96177" w:rsidRPr="002A4E3D" w:rsidRDefault="00C96177">
      <w:pPr>
        <w:rPr>
          <w:rFonts w:cstheme="minorHAnsi"/>
          <w:b/>
          <w:bCs/>
          <w:sz w:val="28"/>
          <w:szCs w:val="28"/>
        </w:rPr>
      </w:pPr>
      <w:r w:rsidRPr="002A4E3D">
        <w:rPr>
          <w:rFonts w:cstheme="minorHAnsi"/>
          <w:b/>
          <w:bCs/>
          <w:sz w:val="28"/>
          <w:szCs w:val="28"/>
        </w:rPr>
        <w:t xml:space="preserve">Local Insights, Lived Experience and Research: </w:t>
      </w:r>
      <w:r w:rsidR="0017603D">
        <w:rPr>
          <w:rFonts w:cstheme="minorHAnsi"/>
          <w:b/>
          <w:bCs/>
          <w:sz w:val="28"/>
          <w:szCs w:val="28"/>
        </w:rPr>
        <w:t>Ageing Well</w:t>
      </w:r>
    </w:p>
    <w:p w14:paraId="0AEE832C" w14:textId="77777777" w:rsidR="00BF3737" w:rsidRPr="002A4E3D" w:rsidRDefault="00BF3737">
      <w:pPr>
        <w:rPr>
          <w:rFonts w:cstheme="minorHAnsi"/>
        </w:rPr>
      </w:pPr>
    </w:p>
    <w:p w14:paraId="42034D85" w14:textId="77777777" w:rsidR="0017603D" w:rsidRDefault="002A4E3D" w:rsidP="002A4E3D">
      <w:pPr>
        <w:rPr>
          <w:rFonts w:cstheme="minorHAnsi"/>
          <w:b/>
          <w:bCs/>
        </w:rPr>
      </w:pPr>
      <w:r w:rsidRPr="00055C67">
        <w:rPr>
          <w:rFonts w:ascii="Segoe UI Emoji" w:hAnsi="Segoe UI Emoji" w:cs="Segoe UI Emoji"/>
          <w:b/>
          <w:bCs/>
          <w:sz w:val="28"/>
          <w:szCs w:val="28"/>
        </w:rPr>
        <w:t>🧠</w:t>
      </w:r>
      <w:r w:rsidRPr="00055C67">
        <w:rPr>
          <w:rFonts w:cstheme="minorHAnsi"/>
          <w:b/>
          <w:bCs/>
          <w:sz w:val="28"/>
          <w:szCs w:val="28"/>
        </w:rPr>
        <w:t xml:space="preserve"> Mental Health and Emotional Wellbeing</w:t>
      </w:r>
      <w:r w:rsidRPr="002A4E3D">
        <w:rPr>
          <w:rFonts w:cstheme="minorHAnsi"/>
          <w:b/>
          <w:bCs/>
        </w:rPr>
        <w:br/>
      </w:r>
    </w:p>
    <w:p w14:paraId="46D7278F" w14:textId="352E085B" w:rsidR="002A4E3D" w:rsidRPr="002A4E3D" w:rsidRDefault="002A4E3D" w:rsidP="002A4E3D">
      <w:pPr>
        <w:rPr>
          <w:rFonts w:cstheme="minorHAnsi"/>
          <w:b/>
          <w:bCs/>
        </w:rPr>
      </w:pPr>
      <w:r w:rsidRPr="002A4E3D">
        <w:rPr>
          <w:rFonts w:cstheme="minorHAnsi"/>
          <w:b/>
          <w:bCs/>
        </w:rPr>
        <w:t>Insight questions:</w:t>
      </w:r>
    </w:p>
    <w:p w14:paraId="47156441" w14:textId="77777777" w:rsidR="002A4E3D" w:rsidRPr="002A4E3D" w:rsidRDefault="002A4E3D" w:rsidP="002A4E3D">
      <w:pPr>
        <w:numPr>
          <w:ilvl w:val="0"/>
          <w:numId w:val="23"/>
        </w:numPr>
        <w:rPr>
          <w:rFonts w:cstheme="minorHAnsi"/>
        </w:rPr>
      </w:pPr>
      <w:r w:rsidRPr="002A4E3D">
        <w:rPr>
          <w:rFonts w:cstheme="minorHAnsi"/>
        </w:rPr>
        <w:t>How do older adults experience mental health support and social connection?</w:t>
      </w:r>
    </w:p>
    <w:p w14:paraId="1AB3DA25" w14:textId="77777777" w:rsidR="002A4E3D" w:rsidRPr="002A4E3D" w:rsidRDefault="002A4E3D" w:rsidP="002A4E3D">
      <w:pPr>
        <w:numPr>
          <w:ilvl w:val="0"/>
          <w:numId w:val="23"/>
        </w:numPr>
        <w:rPr>
          <w:rFonts w:cstheme="minorHAnsi"/>
        </w:rPr>
      </w:pPr>
      <w:r w:rsidRPr="002A4E3D">
        <w:rPr>
          <w:rFonts w:cstheme="minorHAnsi"/>
        </w:rPr>
        <w:t>What role does community play in emotional wellbeing?</w:t>
      </w:r>
    </w:p>
    <w:p w14:paraId="0BC58594" w14:textId="2DDE223B" w:rsidR="0017603D" w:rsidRPr="0021118B" w:rsidRDefault="00A71EBA" w:rsidP="002A4E3D">
      <w:pPr>
        <w:rPr>
          <w:rFonts w:cstheme="minorHAnsi"/>
          <w:b/>
          <w:bCs/>
        </w:rPr>
      </w:pPr>
      <w:r w:rsidRPr="0021118B">
        <w:rPr>
          <w:rFonts w:cstheme="minorHAnsi"/>
          <w:b/>
          <w:bCs/>
        </w:rPr>
        <w:t>Source</w:t>
      </w:r>
      <w:r w:rsidR="00C40ABD" w:rsidRPr="0021118B">
        <w:rPr>
          <w:rFonts w:cstheme="minorHAnsi"/>
          <w:b/>
          <w:bCs/>
        </w:rPr>
        <w:t xml:space="preserve">s: </w:t>
      </w:r>
      <w:hyperlink r:id="rId10" w:history="1">
        <w:r w:rsidR="00C40ABD" w:rsidRPr="0021118B">
          <w:rPr>
            <w:rStyle w:val="Hyperlink"/>
            <w:rFonts w:cstheme="minorHAnsi"/>
            <w:b/>
            <w:bCs/>
          </w:rPr>
          <w:t>Devon Mental Health Alliance</w:t>
        </w:r>
      </w:hyperlink>
      <w:r w:rsidR="00C40ABD" w:rsidRPr="0021118B">
        <w:rPr>
          <w:rFonts w:cstheme="minorHAnsi"/>
          <w:b/>
          <w:bCs/>
        </w:rPr>
        <w:t xml:space="preserve">, </w:t>
      </w:r>
      <w:hyperlink r:id="rId11" w:history="1">
        <w:r w:rsidR="0021118B">
          <w:rPr>
            <w:rStyle w:val="Hyperlink"/>
            <w:rFonts w:cstheme="minorHAnsi"/>
            <w:b/>
            <w:bCs/>
          </w:rPr>
          <w:t>Devon Partnership NHS Trust</w:t>
        </w:r>
      </w:hyperlink>
      <w:r w:rsidR="0021118B">
        <w:rPr>
          <w:rFonts w:cstheme="minorHAnsi"/>
          <w:b/>
          <w:bCs/>
        </w:rPr>
        <w:t xml:space="preserve">, </w:t>
      </w:r>
      <w:hyperlink r:id="rId12" w:history="1">
        <w:r w:rsidR="0021118B">
          <w:rPr>
            <w:rStyle w:val="Hyperlink"/>
            <w:rFonts w:cstheme="minorHAnsi"/>
            <w:b/>
            <w:bCs/>
          </w:rPr>
          <w:t>Devon Mind</w:t>
        </w:r>
      </w:hyperlink>
      <w:r w:rsidR="0021118B">
        <w:rPr>
          <w:rFonts w:cstheme="minorHAnsi"/>
          <w:b/>
          <w:bCs/>
        </w:rPr>
        <w:t xml:space="preserve">  </w:t>
      </w:r>
    </w:p>
    <w:p w14:paraId="00C490B1" w14:textId="13C1C594" w:rsidR="002A4E3D" w:rsidRDefault="002A4E3D" w:rsidP="002A4E3D">
      <w:pPr>
        <w:rPr>
          <w:rFonts w:cstheme="minorHAnsi"/>
        </w:rPr>
      </w:pPr>
      <w:r w:rsidRPr="002A4E3D">
        <w:rPr>
          <w:rFonts w:cstheme="minorHAnsi"/>
          <w:b/>
          <w:bCs/>
        </w:rPr>
        <w:t xml:space="preserve">Insight: </w:t>
      </w:r>
      <w:r w:rsidRPr="002A4E3D">
        <w:rPr>
          <w:rFonts w:cstheme="minorHAnsi"/>
        </w:rPr>
        <w:t>Older adults report feelings of isolation, grief, and anxiety, particularly after bereavement or retirement. Access to mental health support is limited, and stigma remains a barrier. Community groups, peer networks, and volunteering opportunities are valued but not always accessible, especially in rural areas.</w:t>
      </w:r>
    </w:p>
    <w:p w14:paraId="6E6BBD58" w14:textId="77777777" w:rsidR="0017603D" w:rsidRPr="002A4E3D" w:rsidRDefault="0017603D" w:rsidP="002A4E3D">
      <w:pPr>
        <w:rPr>
          <w:rFonts w:cstheme="minorHAnsi"/>
          <w:b/>
          <w:bCs/>
        </w:rPr>
      </w:pPr>
    </w:p>
    <w:p w14:paraId="689A0BEE" w14:textId="77777777" w:rsidR="0017603D" w:rsidRDefault="002A4E3D" w:rsidP="002A4E3D">
      <w:pPr>
        <w:rPr>
          <w:rFonts w:cstheme="minorHAnsi"/>
          <w:b/>
          <w:bCs/>
        </w:rPr>
      </w:pPr>
      <w:r w:rsidRPr="00055C67">
        <w:rPr>
          <w:rFonts w:ascii="Segoe UI Emoji" w:hAnsi="Segoe UI Emoji" w:cs="Segoe UI Emoji"/>
          <w:b/>
          <w:bCs/>
          <w:sz w:val="28"/>
          <w:szCs w:val="28"/>
        </w:rPr>
        <w:t>🏠</w:t>
      </w:r>
      <w:r w:rsidRPr="00055C67">
        <w:rPr>
          <w:rFonts w:cstheme="minorHAnsi"/>
          <w:b/>
          <w:bCs/>
          <w:sz w:val="28"/>
          <w:szCs w:val="28"/>
        </w:rPr>
        <w:t xml:space="preserve"> Housing and Indoor Environment</w:t>
      </w:r>
      <w:r w:rsidRPr="002A4E3D">
        <w:rPr>
          <w:rFonts w:cstheme="minorHAnsi"/>
          <w:b/>
          <w:bCs/>
        </w:rPr>
        <w:br/>
      </w:r>
    </w:p>
    <w:p w14:paraId="0FEF8236" w14:textId="1E456E02" w:rsidR="002A4E3D" w:rsidRPr="002A4E3D" w:rsidRDefault="002A4E3D" w:rsidP="002A4E3D">
      <w:pPr>
        <w:rPr>
          <w:rFonts w:cstheme="minorHAnsi"/>
          <w:b/>
          <w:bCs/>
        </w:rPr>
      </w:pPr>
      <w:r w:rsidRPr="002A4E3D">
        <w:rPr>
          <w:rFonts w:cstheme="minorHAnsi"/>
          <w:b/>
          <w:bCs/>
        </w:rPr>
        <w:t>Insight questions:</w:t>
      </w:r>
    </w:p>
    <w:p w14:paraId="72631606" w14:textId="77777777" w:rsidR="002A4E3D" w:rsidRPr="002A4E3D" w:rsidRDefault="002A4E3D" w:rsidP="002A4E3D">
      <w:pPr>
        <w:numPr>
          <w:ilvl w:val="0"/>
          <w:numId w:val="24"/>
        </w:numPr>
        <w:rPr>
          <w:rFonts w:cstheme="minorHAnsi"/>
        </w:rPr>
      </w:pPr>
      <w:r w:rsidRPr="002A4E3D">
        <w:rPr>
          <w:rFonts w:cstheme="minorHAnsi"/>
        </w:rPr>
        <w:t>What does it feel like to age in poor housing conditions?</w:t>
      </w:r>
    </w:p>
    <w:p w14:paraId="5E50E9AA" w14:textId="77777777" w:rsidR="002A4E3D" w:rsidRPr="002A4E3D" w:rsidRDefault="002A4E3D" w:rsidP="002A4E3D">
      <w:pPr>
        <w:numPr>
          <w:ilvl w:val="0"/>
          <w:numId w:val="24"/>
        </w:numPr>
        <w:rPr>
          <w:rFonts w:cstheme="minorHAnsi"/>
        </w:rPr>
      </w:pPr>
      <w:r w:rsidRPr="002A4E3D">
        <w:rPr>
          <w:rFonts w:cstheme="minorHAnsi"/>
        </w:rPr>
        <w:t>How does housing quality affect health and independence?</w:t>
      </w:r>
    </w:p>
    <w:p w14:paraId="420B33FF" w14:textId="75D6BF5E" w:rsidR="0017603D" w:rsidRPr="000C507F" w:rsidRDefault="00C447A2" w:rsidP="002A4E3D">
      <w:pPr>
        <w:rPr>
          <w:rFonts w:cstheme="minorHAnsi"/>
          <w:b/>
          <w:bCs/>
        </w:rPr>
      </w:pPr>
      <w:r w:rsidRPr="000C507F">
        <w:rPr>
          <w:rFonts w:cstheme="minorHAnsi"/>
          <w:b/>
          <w:bCs/>
        </w:rPr>
        <w:t xml:space="preserve">Sources: </w:t>
      </w:r>
      <w:hyperlink r:id="rId13" w:history="1">
        <w:r w:rsidR="000C507F">
          <w:rPr>
            <w:rStyle w:val="Hyperlink"/>
            <w:rFonts w:cstheme="minorHAnsi"/>
            <w:b/>
            <w:bCs/>
          </w:rPr>
          <w:t>DCC - Housing Support for Older Adults</w:t>
        </w:r>
      </w:hyperlink>
      <w:r w:rsidR="000C507F" w:rsidRPr="000C507F">
        <w:rPr>
          <w:rFonts w:cstheme="minorHAnsi"/>
          <w:b/>
          <w:bCs/>
        </w:rPr>
        <w:t xml:space="preserve">, </w:t>
      </w:r>
      <w:hyperlink r:id="rId14" w:history="1">
        <w:r w:rsidR="00B74B1E">
          <w:rPr>
            <w:rStyle w:val="Hyperlink"/>
            <w:rFonts w:cstheme="minorHAnsi"/>
            <w:b/>
            <w:bCs/>
          </w:rPr>
          <w:t>Torbay and South Devon NHS - Housing Options for Older People</w:t>
        </w:r>
      </w:hyperlink>
      <w:r w:rsidR="00B74B1E">
        <w:rPr>
          <w:rFonts w:cstheme="minorHAnsi"/>
          <w:b/>
          <w:bCs/>
        </w:rPr>
        <w:t xml:space="preserve"> </w:t>
      </w:r>
    </w:p>
    <w:p w14:paraId="6120FC31" w14:textId="42D6857E" w:rsidR="002A4E3D" w:rsidRDefault="002A4E3D" w:rsidP="002A4E3D">
      <w:pPr>
        <w:rPr>
          <w:rFonts w:cstheme="minorHAnsi"/>
        </w:rPr>
      </w:pPr>
      <w:r w:rsidRPr="002A4E3D">
        <w:rPr>
          <w:rFonts w:cstheme="minorHAnsi"/>
          <w:b/>
          <w:bCs/>
        </w:rPr>
        <w:t xml:space="preserve">Insight: </w:t>
      </w:r>
      <w:r w:rsidRPr="002A4E3D">
        <w:rPr>
          <w:rFonts w:cstheme="minorHAnsi"/>
        </w:rPr>
        <w:t>Many older adults live in homes that are cold, damp, or poorly insulated. Fuel poverty and lack of accessible housing adaptations contribute to physical decline and reduced independence. Those in temporary or unsuitable housing report stress, reduced mobility, and increased risk of falls.</w:t>
      </w:r>
    </w:p>
    <w:p w14:paraId="64510F67" w14:textId="77777777" w:rsidR="0017603D" w:rsidRPr="002A4E3D" w:rsidRDefault="0017603D" w:rsidP="002A4E3D">
      <w:pPr>
        <w:rPr>
          <w:rFonts w:cstheme="minorHAnsi"/>
          <w:b/>
          <w:bCs/>
        </w:rPr>
      </w:pPr>
    </w:p>
    <w:p w14:paraId="769CE29B" w14:textId="77777777" w:rsidR="0017603D" w:rsidRDefault="002A4E3D" w:rsidP="002A4E3D">
      <w:pPr>
        <w:rPr>
          <w:rFonts w:cstheme="minorHAnsi"/>
          <w:b/>
          <w:bCs/>
        </w:rPr>
      </w:pPr>
      <w:r w:rsidRPr="00055C67">
        <w:rPr>
          <w:rFonts w:ascii="Segoe UI Emoji" w:hAnsi="Segoe UI Emoji" w:cs="Segoe UI Emoji"/>
          <w:b/>
          <w:bCs/>
          <w:sz w:val="28"/>
          <w:szCs w:val="28"/>
        </w:rPr>
        <w:t>🚶</w:t>
      </w:r>
      <w:r w:rsidRPr="00055C67">
        <w:rPr>
          <w:rFonts w:cstheme="minorHAnsi"/>
          <w:b/>
          <w:bCs/>
          <w:sz w:val="28"/>
          <w:szCs w:val="28"/>
        </w:rPr>
        <w:t>‍</w:t>
      </w:r>
      <w:r w:rsidRPr="00055C67">
        <w:rPr>
          <w:rFonts w:ascii="Segoe UI Emoji" w:hAnsi="Segoe UI Emoji" w:cs="Segoe UI Emoji"/>
          <w:b/>
          <w:bCs/>
          <w:sz w:val="28"/>
          <w:szCs w:val="28"/>
        </w:rPr>
        <w:t>♀️</w:t>
      </w:r>
      <w:r w:rsidRPr="00055C67">
        <w:rPr>
          <w:rFonts w:cstheme="minorHAnsi"/>
          <w:b/>
          <w:bCs/>
          <w:sz w:val="28"/>
          <w:szCs w:val="28"/>
        </w:rPr>
        <w:t xml:space="preserve"> Mobility, Transport and Access to Services</w:t>
      </w:r>
      <w:r w:rsidRPr="002A4E3D">
        <w:rPr>
          <w:rFonts w:cstheme="minorHAnsi"/>
          <w:b/>
          <w:bCs/>
        </w:rPr>
        <w:br/>
      </w:r>
    </w:p>
    <w:p w14:paraId="4977D10C" w14:textId="14C8CE3E" w:rsidR="002A4E3D" w:rsidRPr="002A4E3D" w:rsidRDefault="002A4E3D" w:rsidP="002A4E3D">
      <w:pPr>
        <w:rPr>
          <w:rFonts w:cstheme="minorHAnsi"/>
          <w:b/>
          <w:bCs/>
        </w:rPr>
      </w:pPr>
      <w:r w:rsidRPr="002A4E3D">
        <w:rPr>
          <w:rFonts w:cstheme="minorHAnsi"/>
          <w:b/>
          <w:bCs/>
        </w:rPr>
        <w:t>Insight questions:</w:t>
      </w:r>
    </w:p>
    <w:p w14:paraId="149B8CC2" w14:textId="77777777" w:rsidR="002A4E3D" w:rsidRPr="002A4E3D" w:rsidRDefault="002A4E3D" w:rsidP="002A4E3D">
      <w:pPr>
        <w:numPr>
          <w:ilvl w:val="0"/>
          <w:numId w:val="25"/>
        </w:numPr>
        <w:rPr>
          <w:rFonts w:cstheme="minorHAnsi"/>
        </w:rPr>
      </w:pPr>
      <w:r w:rsidRPr="002A4E3D">
        <w:rPr>
          <w:rFonts w:cstheme="minorHAnsi"/>
        </w:rPr>
        <w:t>How do older adults experience transport and access to care?</w:t>
      </w:r>
    </w:p>
    <w:p w14:paraId="2E73A853" w14:textId="77777777" w:rsidR="002A4E3D" w:rsidRPr="002A4E3D" w:rsidRDefault="002A4E3D" w:rsidP="002A4E3D">
      <w:pPr>
        <w:numPr>
          <w:ilvl w:val="0"/>
          <w:numId w:val="25"/>
        </w:numPr>
        <w:rPr>
          <w:rFonts w:cstheme="minorHAnsi"/>
        </w:rPr>
      </w:pPr>
      <w:r w:rsidRPr="002A4E3D">
        <w:rPr>
          <w:rFonts w:cstheme="minorHAnsi"/>
        </w:rPr>
        <w:t>What barriers exist to maintaining independence?</w:t>
      </w:r>
    </w:p>
    <w:p w14:paraId="6B1DA9A0" w14:textId="1D4687A7" w:rsidR="0017603D" w:rsidRPr="00794FD6" w:rsidRDefault="00B74B1E" w:rsidP="002A4E3D">
      <w:pPr>
        <w:rPr>
          <w:rFonts w:cstheme="minorHAnsi"/>
          <w:b/>
          <w:bCs/>
        </w:rPr>
      </w:pPr>
      <w:r w:rsidRPr="00794FD6">
        <w:rPr>
          <w:rFonts w:cstheme="minorHAnsi"/>
          <w:b/>
          <w:bCs/>
        </w:rPr>
        <w:t xml:space="preserve">Sources: </w:t>
      </w:r>
      <w:hyperlink r:id="rId15" w:history="1">
        <w:r w:rsidR="00D13F75" w:rsidRPr="00794FD6">
          <w:rPr>
            <w:rStyle w:val="Hyperlink"/>
            <w:rFonts w:cstheme="minorHAnsi"/>
            <w:b/>
            <w:bCs/>
          </w:rPr>
          <w:t>Devon Access to Services Project</w:t>
        </w:r>
      </w:hyperlink>
      <w:r w:rsidR="00D13F75" w:rsidRPr="00794FD6">
        <w:rPr>
          <w:rFonts w:cstheme="minorHAnsi"/>
          <w:b/>
          <w:bCs/>
        </w:rPr>
        <w:t xml:space="preserve">, </w:t>
      </w:r>
      <w:hyperlink r:id="rId16" w:history="1">
        <w:r w:rsidR="00D13F75" w:rsidRPr="00794FD6">
          <w:rPr>
            <w:rStyle w:val="Hyperlink"/>
            <w:rFonts w:cstheme="minorHAnsi"/>
            <w:b/>
            <w:bCs/>
          </w:rPr>
          <w:t>DCC - Transport Support</w:t>
        </w:r>
      </w:hyperlink>
      <w:r w:rsidR="00D13F75" w:rsidRPr="00794FD6">
        <w:rPr>
          <w:rFonts w:cstheme="minorHAnsi"/>
          <w:b/>
          <w:bCs/>
        </w:rPr>
        <w:t xml:space="preserve">  </w:t>
      </w:r>
    </w:p>
    <w:p w14:paraId="260D3452" w14:textId="6102202D" w:rsidR="002A4E3D" w:rsidRDefault="002A4E3D" w:rsidP="7C85D7C9">
      <w:r w:rsidRPr="7C85D7C9">
        <w:rPr>
          <w:b/>
          <w:bCs/>
        </w:rPr>
        <w:t xml:space="preserve">Insight: </w:t>
      </w:r>
      <w:r w:rsidRPr="7C85D7C9">
        <w:t>Limited public transport</w:t>
      </w:r>
      <w:r w:rsidR="00442A82">
        <w:t xml:space="preserve"> and prohibitive transport costs</w:t>
      </w:r>
      <w:r w:rsidRPr="7C85D7C9">
        <w:t xml:space="preserve">, especially in rural areas, restricts access to health services, social activities, and essentials. Older adults describe feeling “cut off” and dependent on others. Lack of accessible infrastructure (e.g. pavements, toilets) further limits </w:t>
      </w:r>
      <w:r w:rsidRPr="7C85D7C9">
        <w:lastRenderedPageBreak/>
        <w:t>mobility and confidence.</w:t>
      </w:r>
      <w:r w:rsidR="00F615C2">
        <w:t xml:space="preserve"> </w:t>
      </w:r>
      <w:r w:rsidR="003728AE" w:rsidRPr="003728AE">
        <w:t>Public transport accessibility for disabled passengers is also limited; even when buses have wheelchair facilities, there is typically only one space available, making travel difficult for those who rely on mobility aids.</w:t>
      </w:r>
    </w:p>
    <w:p w14:paraId="3AE4434F" w14:textId="77777777" w:rsidR="00D42ACE" w:rsidRPr="002A4E3D" w:rsidRDefault="00D42ACE" w:rsidP="7C85D7C9">
      <w:pPr>
        <w:rPr>
          <w:b/>
          <w:bCs/>
        </w:rPr>
      </w:pPr>
    </w:p>
    <w:p w14:paraId="0A76B97E" w14:textId="77777777" w:rsidR="0017603D" w:rsidRDefault="002A4E3D" w:rsidP="002A4E3D">
      <w:pPr>
        <w:rPr>
          <w:rFonts w:cstheme="minorHAnsi"/>
          <w:b/>
          <w:bCs/>
        </w:rPr>
      </w:pPr>
      <w:r w:rsidRPr="00055C67">
        <w:rPr>
          <w:rFonts w:ascii="Segoe UI Emoji" w:hAnsi="Segoe UI Emoji" w:cs="Segoe UI Emoji"/>
          <w:b/>
          <w:bCs/>
          <w:sz w:val="28"/>
          <w:szCs w:val="28"/>
        </w:rPr>
        <w:t>🍽️</w:t>
      </w:r>
      <w:r w:rsidRPr="00055C67">
        <w:rPr>
          <w:rFonts w:cstheme="minorHAnsi"/>
          <w:b/>
          <w:bCs/>
          <w:sz w:val="28"/>
          <w:szCs w:val="28"/>
        </w:rPr>
        <w:t xml:space="preserve"> Nutrition and Food Insecurity</w:t>
      </w:r>
      <w:r w:rsidRPr="002A4E3D">
        <w:rPr>
          <w:rFonts w:cstheme="minorHAnsi"/>
          <w:b/>
          <w:bCs/>
        </w:rPr>
        <w:br/>
      </w:r>
    </w:p>
    <w:p w14:paraId="639D0228" w14:textId="6C015715" w:rsidR="002A4E3D" w:rsidRPr="002A4E3D" w:rsidRDefault="002A4E3D" w:rsidP="002A4E3D">
      <w:pPr>
        <w:rPr>
          <w:rFonts w:cstheme="minorHAnsi"/>
          <w:b/>
          <w:bCs/>
        </w:rPr>
      </w:pPr>
      <w:r w:rsidRPr="002A4E3D">
        <w:rPr>
          <w:rFonts w:cstheme="minorHAnsi"/>
          <w:b/>
          <w:bCs/>
        </w:rPr>
        <w:t>Insight questions:</w:t>
      </w:r>
    </w:p>
    <w:p w14:paraId="1968A69B" w14:textId="77777777" w:rsidR="002A4E3D" w:rsidRPr="002A4E3D" w:rsidRDefault="002A4E3D" w:rsidP="002A4E3D">
      <w:pPr>
        <w:numPr>
          <w:ilvl w:val="0"/>
          <w:numId w:val="26"/>
        </w:numPr>
        <w:rPr>
          <w:rFonts w:cstheme="minorHAnsi"/>
        </w:rPr>
      </w:pPr>
      <w:r w:rsidRPr="002A4E3D">
        <w:rPr>
          <w:rFonts w:cstheme="minorHAnsi"/>
        </w:rPr>
        <w:t>How does food insecurity affect older adults?</w:t>
      </w:r>
    </w:p>
    <w:p w14:paraId="5ECC3544" w14:textId="77777777" w:rsidR="002A4E3D" w:rsidRPr="002A4E3D" w:rsidRDefault="002A4E3D" w:rsidP="002A4E3D">
      <w:pPr>
        <w:numPr>
          <w:ilvl w:val="0"/>
          <w:numId w:val="26"/>
        </w:numPr>
        <w:rPr>
          <w:rFonts w:cstheme="minorHAnsi"/>
        </w:rPr>
      </w:pPr>
      <w:r w:rsidRPr="002A4E3D">
        <w:rPr>
          <w:rFonts w:cstheme="minorHAnsi"/>
        </w:rPr>
        <w:t>What support is available and accessible?</w:t>
      </w:r>
    </w:p>
    <w:p w14:paraId="0A688BB4" w14:textId="42195C54" w:rsidR="0017603D" w:rsidRPr="001245D6" w:rsidRDefault="00D13F75" w:rsidP="002A4E3D">
      <w:pPr>
        <w:rPr>
          <w:rFonts w:cstheme="minorHAnsi"/>
          <w:b/>
          <w:bCs/>
        </w:rPr>
      </w:pPr>
      <w:r w:rsidRPr="001245D6">
        <w:rPr>
          <w:rFonts w:cstheme="minorHAnsi"/>
          <w:b/>
          <w:bCs/>
        </w:rPr>
        <w:t xml:space="preserve">Sources: </w:t>
      </w:r>
      <w:hyperlink r:id="rId17" w:history="1">
        <w:r w:rsidR="001245D6" w:rsidRPr="001245D6">
          <w:rPr>
            <w:rStyle w:val="Hyperlink"/>
            <w:rFonts w:cstheme="minorHAnsi"/>
            <w:b/>
            <w:bCs/>
          </w:rPr>
          <w:t>Devon Food Insecurity Hub Report</w:t>
        </w:r>
      </w:hyperlink>
      <w:r w:rsidR="001245D6" w:rsidRPr="001245D6">
        <w:rPr>
          <w:rFonts w:cstheme="minorHAnsi"/>
          <w:b/>
          <w:bCs/>
        </w:rPr>
        <w:t xml:space="preserve">, </w:t>
      </w:r>
      <w:hyperlink r:id="rId18" w:history="1">
        <w:r w:rsidR="001245D6">
          <w:rPr>
            <w:rStyle w:val="Hyperlink"/>
            <w:rFonts w:cstheme="minorHAnsi"/>
            <w:b/>
            <w:bCs/>
          </w:rPr>
          <w:t>DCC - Food and Fuel Insecurity</w:t>
        </w:r>
      </w:hyperlink>
      <w:r w:rsidR="001245D6">
        <w:rPr>
          <w:rFonts w:cstheme="minorHAnsi"/>
          <w:b/>
          <w:bCs/>
        </w:rPr>
        <w:t xml:space="preserve"> </w:t>
      </w:r>
      <w:r w:rsidR="001245D6" w:rsidRPr="001245D6">
        <w:rPr>
          <w:rFonts w:cstheme="minorHAnsi"/>
          <w:b/>
          <w:bCs/>
        </w:rPr>
        <w:t xml:space="preserve"> </w:t>
      </w:r>
    </w:p>
    <w:p w14:paraId="5B244AF1" w14:textId="5B3E2CD3" w:rsidR="002A4E3D" w:rsidRPr="002A4E3D" w:rsidRDefault="002A4E3D" w:rsidP="7C85D7C9">
      <w:pPr>
        <w:rPr>
          <w:b/>
          <w:bCs/>
        </w:rPr>
      </w:pPr>
      <w:r w:rsidRPr="7C85D7C9">
        <w:rPr>
          <w:b/>
          <w:bCs/>
        </w:rPr>
        <w:t xml:space="preserve">Insight: </w:t>
      </w:r>
      <w:r w:rsidRPr="7C85D7C9">
        <w:t>Some older adults skip meals or rely on low-cost, low-nutrition food due to financial constraints. Cooking and shopping can become difficult due to mobility or cognitive decline. Community food hubs and meal delivery services help, but stigma and inconsistent provision remain barriers.</w:t>
      </w:r>
      <w:r w:rsidR="00310974">
        <w:t xml:space="preserve"> </w:t>
      </w:r>
      <w:r w:rsidR="00310974" w:rsidRPr="00310974">
        <w:t>These challenges are often worse in rural areas, where local shops tend to be more expensive than urban supermarkets, making it harder for older adults to afford nutritious food.</w:t>
      </w:r>
    </w:p>
    <w:p w14:paraId="69B74DA2" w14:textId="77777777" w:rsidR="0017603D" w:rsidRDefault="0017603D" w:rsidP="002A4E3D">
      <w:pPr>
        <w:rPr>
          <w:rFonts w:ascii="Segoe UI Emoji" w:hAnsi="Segoe UI Emoji" w:cs="Segoe UI Emoji"/>
          <w:b/>
          <w:bCs/>
        </w:rPr>
      </w:pPr>
    </w:p>
    <w:p w14:paraId="4336A0D1" w14:textId="77777777" w:rsidR="0017603D" w:rsidRDefault="002A4E3D" w:rsidP="002A4E3D">
      <w:pPr>
        <w:rPr>
          <w:rFonts w:cstheme="minorHAnsi"/>
          <w:b/>
          <w:bCs/>
        </w:rPr>
      </w:pPr>
      <w:r w:rsidRPr="00055C67">
        <w:rPr>
          <w:rFonts w:ascii="Segoe UI Emoji" w:hAnsi="Segoe UI Emoji" w:cs="Segoe UI Emoji"/>
          <w:b/>
          <w:bCs/>
          <w:sz w:val="28"/>
          <w:szCs w:val="28"/>
        </w:rPr>
        <w:t>🩺</w:t>
      </w:r>
      <w:r w:rsidRPr="00055C67">
        <w:rPr>
          <w:rFonts w:cstheme="minorHAnsi"/>
          <w:b/>
          <w:bCs/>
          <w:sz w:val="28"/>
          <w:szCs w:val="28"/>
        </w:rPr>
        <w:t xml:space="preserve"> Preventative Health and Screening</w:t>
      </w:r>
      <w:r w:rsidRPr="002A4E3D">
        <w:rPr>
          <w:rFonts w:cstheme="minorHAnsi"/>
          <w:b/>
          <w:bCs/>
        </w:rPr>
        <w:br/>
      </w:r>
    </w:p>
    <w:p w14:paraId="1A5BE635" w14:textId="382A20BC" w:rsidR="002A4E3D" w:rsidRPr="002A4E3D" w:rsidRDefault="002A4E3D" w:rsidP="002A4E3D">
      <w:pPr>
        <w:rPr>
          <w:rFonts w:cstheme="minorHAnsi"/>
          <w:b/>
          <w:bCs/>
        </w:rPr>
      </w:pPr>
      <w:r w:rsidRPr="002A4E3D">
        <w:rPr>
          <w:rFonts w:cstheme="minorHAnsi"/>
          <w:b/>
          <w:bCs/>
        </w:rPr>
        <w:t>Insight questions:</w:t>
      </w:r>
    </w:p>
    <w:p w14:paraId="529B2CE2" w14:textId="77777777" w:rsidR="002A4E3D" w:rsidRPr="002A4E3D" w:rsidRDefault="002A4E3D" w:rsidP="002A4E3D">
      <w:pPr>
        <w:numPr>
          <w:ilvl w:val="0"/>
          <w:numId w:val="27"/>
        </w:numPr>
        <w:rPr>
          <w:rFonts w:cstheme="minorHAnsi"/>
        </w:rPr>
      </w:pPr>
      <w:r w:rsidRPr="002A4E3D">
        <w:rPr>
          <w:rFonts w:cstheme="minorHAnsi"/>
        </w:rPr>
        <w:t>What are the barriers to accessing preventative care?</w:t>
      </w:r>
    </w:p>
    <w:p w14:paraId="2615CBB2" w14:textId="77777777" w:rsidR="002A4E3D" w:rsidRPr="002A4E3D" w:rsidRDefault="002A4E3D" w:rsidP="002A4E3D">
      <w:pPr>
        <w:numPr>
          <w:ilvl w:val="0"/>
          <w:numId w:val="27"/>
        </w:numPr>
        <w:rPr>
          <w:rFonts w:cstheme="minorHAnsi"/>
        </w:rPr>
      </w:pPr>
      <w:r w:rsidRPr="002A4E3D">
        <w:rPr>
          <w:rFonts w:cstheme="minorHAnsi"/>
        </w:rPr>
        <w:t>How do older adults experience health promotion?</w:t>
      </w:r>
    </w:p>
    <w:p w14:paraId="01FA771F" w14:textId="67D606C7" w:rsidR="0017603D" w:rsidRPr="00431D3C" w:rsidRDefault="00431D3C" w:rsidP="002A4E3D">
      <w:pPr>
        <w:rPr>
          <w:rFonts w:cstheme="minorHAnsi"/>
          <w:b/>
          <w:bCs/>
        </w:rPr>
      </w:pPr>
      <w:r w:rsidRPr="00431D3C">
        <w:rPr>
          <w:rFonts w:cstheme="minorHAnsi"/>
          <w:b/>
          <w:bCs/>
        </w:rPr>
        <w:t xml:space="preserve">Sources: </w:t>
      </w:r>
      <w:hyperlink r:id="rId19" w:history="1">
        <w:r w:rsidRPr="00431D3C">
          <w:rPr>
            <w:rStyle w:val="Hyperlink"/>
            <w:rFonts w:cstheme="minorHAnsi"/>
            <w:b/>
            <w:bCs/>
          </w:rPr>
          <w:t>Devon Annual Public Health Report 2023-24</w:t>
        </w:r>
      </w:hyperlink>
      <w:r w:rsidRPr="00431D3C">
        <w:rPr>
          <w:rFonts w:cstheme="minorHAnsi"/>
          <w:b/>
          <w:bCs/>
        </w:rPr>
        <w:t xml:space="preserve">, </w:t>
      </w:r>
      <w:hyperlink r:id="rId20" w:history="1">
        <w:r w:rsidR="002251D5">
          <w:rPr>
            <w:rStyle w:val="Hyperlink"/>
            <w:rFonts w:cstheme="minorHAnsi"/>
            <w:b/>
            <w:bCs/>
          </w:rPr>
          <w:t>NHS Health Checks - Devon County Council</w:t>
        </w:r>
      </w:hyperlink>
      <w:r w:rsidR="002251D5">
        <w:rPr>
          <w:rFonts w:cstheme="minorHAnsi"/>
          <w:b/>
          <w:bCs/>
        </w:rPr>
        <w:t xml:space="preserve"> </w:t>
      </w:r>
      <w:r w:rsidRPr="00431D3C">
        <w:rPr>
          <w:rFonts w:cstheme="minorHAnsi"/>
          <w:b/>
          <w:bCs/>
        </w:rPr>
        <w:t xml:space="preserve"> </w:t>
      </w:r>
    </w:p>
    <w:p w14:paraId="2D342D3A" w14:textId="21C44792" w:rsidR="002A4E3D" w:rsidRDefault="002A4E3D" w:rsidP="002A4E3D">
      <w:pPr>
        <w:rPr>
          <w:rFonts w:cstheme="minorHAnsi"/>
        </w:rPr>
      </w:pPr>
      <w:r w:rsidRPr="002A4E3D">
        <w:rPr>
          <w:rFonts w:cstheme="minorHAnsi"/>
          <w:b/>
          <w:bCs/>
        </w:rPr>
        <w:t xml:space="preserve">Insight: </w:t>
      </w:r>
      <w:r w:rsidRPr="002A4E3D">
        <w:rPr>
          <w:rFonts w:cstheme="minorHAnsi"/>
        </w:rPr>
        <w:t>Uptake of screening and vaccinations (e.g. flu, shingles) is variable. Older adults value preventative care but face barriers such as transport, digital exclusion, and unclear communication. Trust in services and continuity of care are key to engagement.</w:t>
      </w:r>
    </w:p>
    <w:p w14:paraId="440E4B13" w14:textId="77777777" w:rsidR="0017603D" w:rsidRPr="002A4E3D" w:rsidRDefault="0017603D" w:rsidP="002A4E3D">
      <w:pPr>
        <w:rPr>
          <w:rFonts w:cstheme="minorHAnsi"/>
          <w:b/>
          <w:bCs/>
        </w:rPr>
      </w:pPr>
    </w:p>
    <w:p w14:paraId="3805A586" w14:textId="77777777" w:rsidR="0017603D" w:rsidRDefault="002A4E3D" w:rsidP="002A4E3D">
      <w:pPr>
        <w:rPr>
          <w:rFonts w:cstheme="minorHAnsi"/>
          <w:b/>
          <w:bCs/>
        </w:rPr>
      </w:pPr>
      <w:r w:rsidRPr="00055C67">
        <w:rPr>
          <w:rFonts w:ascii="Segoe UI Emoji" w:hAnsi="Segoe UI Emoji" w:cs="Segoe UI Emoji"/>
          <w:b/>
          <w:bCs/>
          <w:sz w:val="28"/>
          <w:szCs w:val="28"/>
        </w:rPr>
        <w:t>⚰️</w:t>
      </w:r>
      <w:r w:rsidRPr="00055C67">
        <w:rPr>
          <w:rFonts w:cstheme="minorHAnsi"/>
          <w:b/>
          <w:bCs/>
          <w:sz w:val="28"/>
          <w:szCs w:val="28"/>
        </w:rPr>
        <w:t xml:space="preserve"> End-of-Life Care and Planning</w:t>
      </w:r>
      <w:r w:rsidRPr="002A4E3D">
        <w:rPr>
          <w:rFonts w:cstheme="minorHAnsi"/>
          <w:b/>
          <w:bCs/>
        </w:rPr>
        <w:br/>
      </w:r>
    </w:p>
    <w:p w14:paraId="45B7E170" w14:textId="7363000B" w:rsidR="002A4E3D" w:rsidRPr="002A4E3D" w:rsidRDefault="002A4E3D" w:rsidP="002A4E3D">
      <w:pPr>
        <w:rPr>
          <w:rFonts w:cstheme="minorHAnsi"/>
          <w:b/>
          <w:bCs/>
        </w:rPr>
      </w:pPr>
      <w:r w:rsidRPr="002A4E3D">
        <w:rPr>
          <w:rFonts w:cstheme="minorHAnsi"/>
          <w:b/>
          <w:bCs/>
        </w:rPr>
        <w:t>Insight questions:</w:t>
      </w:r>
    </w:p>
    <w:p w14:paraId="3A505796" w14:textId="77777777" w:rsidR="002A4E3D" w:rsidRPr="002A4E3D" w:rsidRDefault="002A4E3D" w:rsidP="002A4E3D">
      <w:pPr>
        <w:numPr>
          <w:ilvl w:val="0"/>
          <w:numId w:val="28"/>
        </w:numPr>
        <w:rPr>
          <w:rFonts w:cstheme="minorHAnsi"/>
        </w:rPr>
      </w:pPr>
      <w:r w:rsidRPr="002A4E3D">
        <w:rPr>
          <w:rFonts w:cstheme="minorHAnsi"/>
        </w:rPr>
        <w:t>How do older adults and families experience end-of-life care?</w:t>
      </w:r>
    </w:p>
    <w:p w14:paraId="373CDD6D" w14:textId="77777777" w:rsidR="002A4E3D" w:rsidRPr="002A4E3D" w:rsidRDefault="002A4E3D" w:rsidP="002A4E3D">
      <w:pPr>
        <w:numPr>
          <w:ilvl w:val="0"/>
          <w:numId w:val="28"/>
        </w:numPr>
        <w:rPr>
          <w:rFonts w:cstheme="minorHAnsi"/>
        </w:rPr>
      </w:pPr>
      <w:r w:rsidRPr="002A4E3D">
        <w:rPr>
          <w:rFonts w:cstheme="minorHAnsi"/>
        </w:rPr>
        <w:t>What matters most in planning and support?</w:t>
      </w:r>
    </w:p>
    <w:p w14:paraId="1C90B8A5" w14:textId="432CD3CE" w:rsidR="0017603D" w:rsidRPr="00E35FD3" w:rsidRDefault="002251D5" w:rsidP="002A4E3D">
      <w:pPr>
        <w:rPr>
          <w:rFonts w:cstheme="minorHAnsi"/>
          <w:b/>
          <w:bCs/>
        </w:rPr>
      </w:pPr>
      <w:r w:rsidRPr="00E35FD3">
        <w:rPr>
          <w:rFonts w:cstheme="minorHAnsi"/>
          <w:b/>
          <w:bCs/>
        </w:rPr>
        <w:t xml:space="preserve">Sources: </w:t>
      </w:r>
      <w:hyperlink r:id="rId21" w:history="1">
        <w:r w:rsidR="00E35FD3" w:rsidRPr="00E35FD3">
          <w:rPr>
            <w:rStyle w:val="Hyperlink"/>
            <w:rFonts w:cstheme="minorHAnsi"/>
            <w:b/>
            <w:bCs/>
          </w:rPr>
          <w:t>One Devon - End of Life Strategy</w:t>
        </w:r>
      </w:hyperlink>
      <w:r w:rsidR="00E35FD3" w:rsidRPr="00E35FD3">
        <w:rPr>
          <w:rFonts w:cstheme="minorHAnsi"/>
          <w:b/>
          <w:bCs/>
        </w:rPr>
        <w:t xml:space="preserve">, </w:t>
      </w:r>
      <w:hyperlink r:id="rId22" w:history="1">
        <w:r w:rsidR="00D330E8">
          <w:rPr>
            <w:rStyle w:val="Hyperlink"/>
            <w:rFonts w:cstheme="minorHAnsi"/>
            <w:b/>
            <w:bCs/>
          </w:rPr>
          <w:t>DCC - End of Life Care and Bereavement Support</w:t>
        </w:r>
      </w:hyperlink>
      <w:r w:rsidR="00D330E8">
        <w:rPr>
          <w:rFonts w:cstheme="minorHAnsi"/>
          <w:b/>
          <w:bCs/>
        </w:rPr>
        <w:t xml:space="preserve"> </w:t>
      </w:r>
      <w:r w:rsidR="00E35FD3" w:rsidRPr="00E35FD3">
        <w:rPr>
          <w:rFonts w:cstheme="minorHAnsi"/>
          <w:b/>
          <w:bCs/>
        </w:rPr>
        <w:t xml:space="preserve"> </w:t>
      </w:r>
    </w:p>
    <w:p w14:paraId="35076076" w14:textId="4BABE583" w:rsidR="002A4E3D" w:rsidRPr="002A4E3D" w:rsidRDefault="002A4E3D" w:rsidP="002A4E3D">
      <w:pPr>
        <w:rPr>
          <w:rFonts w:cstheme="minorHAnsi"/>
          <w:b/>
          <w:bCs/>
        </w:rPr>
      </w:pPr>
      <w:r w:rsidRPr="002A4E3D">
        <w:rPr>
          <w:rFonts w:cstheme="minorHAnsi"/>
          <w:b/>
          <w:bCs/>
        </w:rPr>
        <w:t xml:space="preserve">Insight: </w:t>
      </w:r>
      <w:r w:rsidRPr="002A4E3D">
        <w:rPr>
          <w:rFonts w:cstheme="minorHAnsi"/>
        </w:rPr>
        <w:t>Many older adults want to die at home or in familiar settings but face challenges in accessing coordinated palliative care. Families report stress, lack of information, and emotional burden. Advance care planning is underused, and cultural sensitivity is needed in end-of-life conversations.</w:t>
      </w:r>
    </w:p>
    <w:p w14:paraId="2C2EC08B" w14:textId="77777777" w:rsidR="0017603D" w:rsidRPr="002A4E3D" w:rsidRDefault="0017603D" w:rsidP="002A4E3D">
      <w:pPr>
        <w:rPr>
          <w:rFonts w:cstheme="minorHAnsi"/>
          <w:b/>
          <w:bCs/>
        </w:rPr>
      </w:pPr>
    </w:p>
    <w:p w14:paraId="654F8FDE" w14:textId="1FA54313" w:rsidR="001068B0" w:rsidRDefault="0026050C" w:rsidP="002A4E3D">
      <w:pPr>
        <w:rPr>
          <w:rFonts w:cstheme="minorHAnsi"/>
          <w:b/>
          <w:bCs/>
          <w:sz w:val="24"/>
          <w:szCs w:val="24"/>
        </w:rPr>
      </w:pPr>
      <w:r>
        <w:rPr>
          <w:b/>
          <w:bCs/>
          <w:noProof/>
          <w:sz w:val="28"/>
          <w:szCs w:val="28"/>
        </w:rPr>
        <mc:AlternateContent>
          <mc:Choice Requires="wps">
            <w:drawing>
              <wp:anchor distT="0" distB="0" distL="114300" distR="114300" simplePos="0" relativeHeight="251658240" behindDoc="0" locked="0" layoutInCell="1" allowOverlap="1" wp14:anchorId="220AE448" wp14:editId="58A1640A">
                <wp:simplePos x="0" y="0"/>
                <wp:positionH relativeFrom="margin">
                  <wp:posOffset>-485775</wp:posOffset>
                </wp:positionH>
                <wp:positionV relativeFrom="paragraph">
                  <wp:posOffset>93345</wp:posOffset>
                </wp:positionV>
                <wp:extent cx="6563533" cy="2562225"/>
                <wp:effectExtent l="0" t="0" r="27940" b="28575"/>
                <wp:wrapNone/>
                <wp:docPr id="348187552" name="Rectangle 1"/>
                <wp:cNvGraphicFramePr/>
                <a:graphic xmlns:a="http://schemas.openxmlformats.org/drawingml/2006/main">
                  <a:graphicData uri="http://schemas.microsoft.com/office/word/2010/wordprocessingShape">
                    <wps:wsp>
                      <wps:cNvSpPr/>
                      <wps:spPr>
                        <a:xfrm>
                          <a:off x="0" y="0"/>
                          <a:ext cx="6563533" cy="2562225"/>
                        </a:xfrm>
                        <a:prstGeom prst="rect">
                          <a:avLst/>
                        </a:prstGeom>
                        <a:noFill/>
                        <a:ln>
                          <a:solidFill>
                            <a:srgbClr val="00A4A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rect id="Rectangle 1" style="position:absolute;margin-left:-38.25pt;margin-top:7.35pt;width:516.8pt;height:201.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ed="f" strokecolor="#00a4a7" strokeweight="1pt" w14:anchorId="0ABB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">
                <w10:wrap anchorx="margin"/>
              </v:rect>
            </w:pict>
          </mc:Fallback>
        </mc:AlternateContent>
      </w:r>
    </w:p>
    <w:p w14:paraId="30286FCD" w14:textId="766D973A" w:rsidR="002A4E3D" w:rsidRPr="002A4E3D" w:rsidRDefault="002A4E3D" w:rsidP="002A4E3D">
      <w:pPr>
        <w:rPr>
          <w:rFonts w:cstheme="minorHAnsi"/>
          <w:b/>
          <w:bCs/>
          <w:sz w:val="28"/>
          <w:szCs w:val="28"/>
        </w:rPr>
      </w:pPr>
      <w:r w:rsidRPr="002A4E3D">
        <w:rPr>
          <w:rFonts w:cstheme="minorHAnsi"/>
          <w:b/>
          <w:bCs/>
          <w:sz w:val="28"/>
          <w:szCs w:val="28"/>
        </w:rPr>
        <w:t>Gaps in Insights and Local Research</w:t>
      </w:r>
    </w:p>
    <w:p w14:paraId="1A55D4FB" w14:textId="2C11B197" w:rsidR="002A4E3D" w:rsidRPr="002A4E3D" w:rsidRDefault="002A4E3D" w:rsidP="002A4E3D">
      <w:pPr>
        <w:numPr>
          <w:ilvl w:val="0"/>
          <w:numId w:val="29"/>
        </w:numPr>
        <w:rPr>
          <w:rFonts w:cstheme="minorHAnsi"/>
        </w:rPr>
      </w:pPr>
      <w:r w:rsidRPr="002A4E3D">
        <w:rPr>
          <w:rFonts w:cstheme="minorHAnsi"/>
          <w:b/>
          <w:bCs/>
        </w:rPr>
        <w:t xml:space="preserve">Digital Exclusion: </w:t>
      </w:r>
      <w:r w:rsidR="001068B0">
        <w:rPr>
          <w:rFonts w:cstheme="minorHAnsi"/>
        </w:rPr>
        <w:t>More</w:t>
      </w:r>
      <w:r w:rsidRPr="002A4E3D">
        <w:rPr>
          <w:rFonts w:cstheme="minorHAnsi"/>
        </w:rPr>
        <w:t xml:space="preserve"> insight</w:t>
      </w:r>
      <w:r w:rsidR="001068B0">
        <w:rPr>
          <w:rFonts w:cstheme="minorHAnsi"/>
        </w:rPr>
        <w:t xml:space="preserve"> required</w:t>
      </w:r>
      <w:r w:rsidRPr="002A4E3D">
        <w:rPr>
          <w:rFonts w:cstheme="minorHAnsi"/>
        </w:rPr>
        <w:t xml:space="preserve"> into how digital barriers affect older adults’ access to services, social connection, and health information.</w:t>
      </w:r>
    </w:p>
    <w:p w14:paraId="69D85BED" w14:textId="0AB0295D" w:rsidR="002A4E3D" w:rsidRPr="002A4E3D" w:rsidRDefault="002A4E3D" w:rsidP="002A4E3D">
      <w:pPr>
        <w:numPr>
          <w:ilvl w:val="0"/>
          <w:numId w:val="29"/>
        </w:numPr>
        <w:rPr>
          <w:rFonts w:cstheme="minorHAnsi"/>
        </w:rPr>
      </w:pPr>
      <w:r w:rsidRPr="002A4E3D">
        <w:rPr>
          <w:rFonts w:cstheme="minorHAnsi"/>
          <w:b/>
          <w:bCs/>
        </w:rPr>
        <w:t xml:space="preserve">Cultural Diversity: </w:t>
      </w:r>
      <w:r w:rsidRPr="002A4E3D">
        <w:rPr>
          <w:rFonts w:cstheme="minorHAnsi"/>
        </w:rPr>
        <w:t>More lived experience needed from older adults from minority ethnic backgrounds, LGBTQ+ communities, and those with disabilities</w:t>
      </w:r>
    </w:p>
    <w:p w14:paraId="2C4B7C86" w14:textId="77777777" w:rsidR="002A4E3D" w:rsidRPr="002A4E3D" w:rsidRDefault="002A4E3D" w:rsidP="002A4E3D">
      <w:pPr>
        <w:numPr>
          <w:ilvl w:val="0"/>
          <w:numId w:val="29"/>
        </w:numPr>
        <w:rPr>
          <w:rFonts w:cstheme="minorHAnsi"/>
        </w:rPr>
      </w:pPr>
      <w:r w:rsidRPr="002A4E3D">
        <w:rPr>
          <w:rFonts w:cstheme="minorHAnsi"/>
          <w:b/>
          <w:bCs/>
        </w:rPr>
        <w:t xml:space="preserve">Carers and Informal Support: </w:t>
      </w:r>
      <w:r w:rsidRPr="002A4E3D">
        <w:rPr>
          <w:rFonts w:cstheme="minorHAnsi"/>
        </w:rPr>
        <w:t>Underexplored experiences of unpaid carers, especially older carers supporting partners or adult children.</w:t>
      </w:r>
    </w:p>
    <w:p w14:paraId="66F4E9F5" w14:textId="77777777" w:rsidR="002A4E3D" w:rsidRPr="002A4E3D" w:rsidRDefault="002A4E3D" w:rsidP="002A4E3D">
      <w:pPr>
        <w:numPr>
          <w:ilvl w:val="0"/>
          <w:numId w:val="29"/>
        </w:numPr>
        <w:rPr>
          <w:rFonts w:cstheme="minorHAnsi"/>
        </w:rPr>
      </w:pPr>
      <w:r w:rsidRPr="002A4E3D">
        <w:rPr>
          <w:rFonts w:cstheme="minorHAnsi"/>
          <w:b/>
          <w:bCs/>
        </w:rPr>
        <w:t xml:space="preserve">End-of-Life Preferences: </w:t>
      </w:r>
      <w:r w:rsidRPr="002A4E3D">
        <w:rPr>
          <w:rFonts w:cstheme="minorHAnsi"/>
        </w:rPr>
        <w:t>More qualitative data needed on what matters most to older adults in end-of-life care and planning.</w:t>
      </w:r>
    </w:p>
    <w:p w14:paraId="5CC04E91" w14:textId="15A0916C" w:rsidR="002A4E3D" w:rsidRPr="002A4E3D" w:rsidRDefault="002A4E3D" w:rsidP="002A4E3D">
      <w:pPr>
        <w:rPr>
          <w:rFonts w:cstheme="minorHAnsi"/>
          <w:b/>
          <w:bCs/>
        </w:rPr>
      </w:pPr>
    </w:p>
    <w:p w14:paraId="117C2657" w14:textId="77777777" w:rsidR="006E0AE4" w:rsidRDefault="006E0AE4" w:rsidP="002A4E3D">
      <w:pPr>
        <w:rPr>
          <w:rFonts w:cstheme="minorHAnsi"/>
          <w:b/>
          <w:bCs/>
          <w:sz w:val="28"/>
          <w:szCs w:val="28"/>
        </w:rPr>
      </w:pPr>
    </w:p>
    <w:p w14:paraId="58930676" w14:textId="05E7322A" w:rsidR="002A4E3D" w:rsidRPr="002A4E3D" w:rsidRDefault="002A4E3D" w:rsidP="002A4E3D">
      <w:pPr>
        <w:rPr>
          <w:rFonts w:cstheme="minorHAnsi"/>
          <w:b/>
          <w:bCs/>
          <w:sz w:val="28"/>
          <w:szCs w:val="28"/>
        </w:rPr>
      </w:pPr>
      <w:r w:rsidRPr="002A4E3D">
        <w:rPr>
          <w:rFonts w:cstheme="minorHAnsi"/>
          <w:b/>
          <w:bCs/>
          <w:sz w:val="28"/>
          <w:szCs w:val="28"/>
        </w:rPr>
        <w:t>Ageing Well Priorities for Devon</w:t>
      </w:r>
    </w:p>
    <w:p w14:paraId="1B6BCB64" w14:textId="77777777" w:rsidR="002A4E3D" w:rsidRPr="002A4E3D" w:rsidRDefault="002A4E3D" w:rsidP="002A4E3D">
      <w:pPr>
        <w:numPr>
          <w:ilvl w:val="0"/>
          <w:numId w:val="30"/>
        </w:numPr>
        <w:rPr>
          <w:rFonts w:cstheme="minorHAnsi"/>
          <w:b/>
          <w:bCs/>
        </w:rPr>
      </w:pPr>
      <w:r w:rsidRPr="002A4E3D">
        <w:rPr>
          <w:rFonts w:cstheme="minorHAnsi"/>
          <w:b/>
          <w:bCs/>
        </w:rPr>
        <w:t xml:space="preserve">Promote Healthy Ageing: </w:t>
      </w:r>
      <w:r w:rsidRPr="002A4E3D">
        <w:rPr>
          <w:rFonts w:cstheme="minorHAnsi"/>
        </w:rPr>
        <w:t>Support physical activity, nutrition, and preventative care to reduce years spent in poor health.</w:t>
      </w:r>
    </w:p>
    <w:p w14:paraId="11666BBC" w14:textId="77777777" w:rsidR="002A4E3D" w:rsidRPr="002A4E3D" w:rsidRDefault="002A4E3D" w:rsidP="002A4E3D">
      <w:pPr>
        <w:numPr>
          <w:ilvl w:val="0"/>
          <w:numId w:val="30"/>
        </w:numPr>
        <w:rPr>
          <w:rFonts w:cstheme="minorHAnsi"/>
          <w:b/>
          <w:bCs/>
        </w:rPr>
      </w:pPr>
      <w:r w:rsidRPr="002A4E3D">
        <w:rPr>
          <w:rFonts w:cstheme="minorHAnsi"/>
          <w:b/>
          <w:bCs/>
        </w:rPr>
        <w:t xml:space="preserve">Tackle Social Isolation: </w:t>
      </w:r>
      <w:r w:rsidRPr="002A4E3D">
        <w:rPr>
          <w:rFonts w:cstheme="minorHAnsi"/>
        </w:rPr>
        <w:t>Expand community-based initiatives, befriending schemes, and transport options to reduce loneliness.</w:t>
      </w:r>
    </w:p>
    <w:p w14:paraId="213FCBD0" w14:textId="77777777" w:rsidR="002A4E3D" w:rsidRPr="002A4E3D" w:rsidRDefault="002A4E3D" w:rsidP="002A4E3D">
      <w:pPr>
        <w:numPr>
          <w:ilvl w:val="0"/>
          <w:numId w:val="30"/>
        </w:numPr>
        <w:rPr>
          <w:rFonts w:cstheme="minorHAnsi"/>
          <w:b/>
          <w:bCs/>
        </w:rPr>
      </w:pPr>
      <w:r w:rsidRPr="002A4E3D">
        <w:rPr>
          <w:rFonts w:cstheme="minorHAnsi"/>
          <w:b/>
          <w:bCs/>
        </w:rPr>
        <w:t xml:space="preserve">Improve Housing Quality: </w:t>
      </w:r>
      <w:r w:rsidRPr="002A4E3D">
        <w:rPr>
          <w:rFonts w:cstheme="minorHAnsi"/>
        </w:rPr>
        <w:t>Address fuel poverty, insulation, and accessibility to support independent living.</w:t>
      </w:r>
    </w:p>
    <w:p w14:paraId="277AAD1A" w14:textId="77777777" w:rsidR="002A4E3D" w:rsidRPr="002A4E3D" w:rsidRDefault="002A4E3D" w:rsidP="002A4E3D">
      <w:pPr>
        <w:numPr>
          <w:ilvl w:val="0"/>
          <w:numId w:val="30"/>
        </w:numPr>
        <w:rPr>
          <w:rFonts w:cstheme="minorHAnsi"/>
          <w:b/>
          <w:bCs/>
        </w:rPr>
      </w:pPr>
      <w:r w:rsidRPr="002A4E3D">
        <w:rPr>
          <w:rFonts w:cstheme="minorHAnsi"/>
          <w:b/>
          <w:bCs/>
        </w:rPr>
        <w:t xml:space="preserve">Support Carers: </w:t>
      </w:r>
      <w:r w:rsidRPr="002A4E3D">
        <w:rPr>
          <w:rFonts w:cstheme="minorHAnsi"/>
        </w:rPr>
        <w:t>Recognise and support unpaid carers with respite, financial help, and emotional support.</w:t>
      </w:r>
    </w:p>
    <w:p w14:paraId="284F7D50" w14:textId="77777777" w:rsidR="002A4E3D" w:rsidRPr="002A4E3D" w:rsidRDefault="002A4E3D" w:rsidP="002A4E3D">
      <w:pPr>
        <w:numPr>
          <w:ilvl w:val="0"/>
          <w:numId w:val="30"/>
        </w:numPr>
        <w:rPr>
          <w:rFonts w:cstheme="minorHAnsi"/>
          <w:b/>
          <w:bCs/>
        </w:rPr>
      </w:pPr>
      <w:r w:rsidRPr="002A4E3D">
        <w:rPr>
          <w:rFonts w:cstheme="minorHAnsi"/>
          <w:b/>
          <w:bCs/>
        </w:rPr>
        <w:t xml:space="preserve">Enhance End-of-Life Care: </w:t>
      </w:r>
      <w:r w:rsidRPr="002A4E3D">
        <w:rPr>
          <w:rFonts w:cstheme="minorHAnsi"/>
        </w:rPr>
        <w:t>Improve coordination, planning, and access to palliative services across settings.</w:t>
      </w:r>
    </w:p>
    <w:p w14:paraId="0C8728C1" w14:textId="77777777" w:rsidR="002A4E3D" w:rsidRPr="002A4E3D" w:rsidRDefault="002A4E3D" w:rsidP="002A4E3D">
      <w:pPr>
        <w:numPr>
          <w:ilvl w:val="0"/>
          <w:numId w:val="30"/>
        </w:numPr>
        <w:rPr>
          <w:rFonts w:cstheme="minorHAnsi"/>
          <w:b/>
          <w:bCs/>
        </w:rPr>
      </w:pPr>
      <w:r w:rsidRPr="002A4E3D">
        <w:rPr>
          <w:rFonts w:cstheme="minorHAnsi"/>
          <w:b/>
          <w:bCs/>
        </w:rPr>
        <w:t xml:space="preserve">Champion Age-Friendly Communities: </w:t>
      </w:r>
      <w:r w:rsidRPr="002A4E3D">
        <w:rPr>
          <w:rFonts w:cstheme="minorHAnsi"/>
        </w:rPr>
        <w:t>Explore Devon’s potential to become a WHO Age-Friendly Community, promoting inclusion and wellbeing.</w:t>
      </w:r>
    </w:p>
    <w:p w14:paraId="38331A8D" w14:textId="0ED86509" w:rsidR="002A4E3D" w:rsidRPr="00147D3D" w:rsidRDefault="002A4E3D" w:rsidP="00455238">
      <w:pPr>
        <w:numPr>
          <w:ilvl w:val="0"/>
          <w:numId w:val="30"/>
        </w:numPr>
        <w:rPr>
          <w:b/>
          <w:bCs/>
        </w:rPr>
      </w:pPr>
      <w:r w:rsidRPr="7C85D7C9">
        <w:rPr>
          <w:b/>
          <w:bCs/>
        </w:rPr>
        <w:t xml:space="preserve">Address Digital Exclusion: </w:t>
      </w:r>
      <w:r w:rsidRPr="7C85D7C9">
        <w:t>Ensure older adults can access services and information through non-digital routes and supported digital literacy</w:t>
      </w:r>
      <w:r w:rsidR="00455238">
        <w:t xml:space="preserve">, while also promoting the use of technology-enabled services to enhance independence and safety at home. </w:t>
      </w:r>
    </w:p>
    <w:p w14:paraId="7E67825F" w14:textId="551E3D79" w:rsidR="00147D3D" w:rsidRPr="002A4E3D" w:rsidRDefault="00147D3D" w:rsidP="00147D3D">
      <w:pPr>
        <w:numPr>
          <w:ilvl w:val="0"/>
          <w:numId w:val="30"/>
        </w:numPr>
        <w:rPr>
          <w:b/>
          <w:bCs/>
        </w:rPr>
      </w:pPr>
      <w:r w:rsidRPr="00147D3D">
        <w:rPr>
          <w:b/>
          <w:bCs/>
        </w:rPr>
        <w:t xml:space="preserve">Expand Social Care Reablement: </w:t>
      </w:r>
      <w:r w:rsidRPr="00147D3D">
        <w:t>Increase the reach and responsiveness of reablement services to help older adults regain independence after hospital discharge or other crises, reducing long-term care needs and improving quality of life.</w:t>
      </w:r>
    </w:p>
    <w:p w14:paraId="42583721" w14:textId="77777777" w:rsidR="00925DC4" w:rsidRDefault="00925DC4" w:rsidP="00260A38"/>
    <w:p w14:paraId="77FBE4BA" w14:textId="38D87235" w:rsidR="005F4167" w:rsidRDefault="005F4167" w:rsidP="00260A38">
      <w:r>
        <w:t>For more information</w:t>
      </w:r>
      <w:r w:rsidR="1943709C">
        <w:t>,</w:t>
      </w:r>
      <w:r>
        <w:t xml:space="preserve"> please visit the following:</w:t>
      </w:r>
    </w:p>
    <w:p w14:paraId="681BC7DB" w14:textId="64BEEFA6" w:rsidR="00794FD6" w:rsidRDefault="00183026" w:rsidP="00183026">
      <w:pPr>
        <w:pStyle w:val="ListParagraph"/>
        <w:numPr>
          <w:ilvl w:val="0"/>
          <w:numId w:val="3"/>
        </w:numPr>
      </w:pPr>
      <w:hyperlink r:id="rId23" w:history="1">
        <w:r w:rsidRPr="00183026">
          <w:rPr>
            <w:rStyle w:val="Hyperlink"/>
          </w:rPr>
          <w:t>Devon Annual Public Health Report 2023-24 - Devon Health and Wellbeing</w:t>
        </w:r>
      </w:hyperlink>
    </w:p>
    <w:p w14:paraId="663AF257" w14:textId="363D48BA" w:rsidR="00794FD6" w:rsidRDefault="00794FD6" w:rsidP="00794FD6">
      <w:pPr>
        <w:pStyle w:val="ListParagraph"/>
        <w:numPr>
          <w:ilvl w:val="0"/>
          <w:numId w:val="3"/>
        </w:numPr>
      </w:pPr>
      <w:hyperlink r:id="rId24" w:history="1">
        <w:r w:rsidRPr="00494219">
          <w:rPr>
            <w:rStyle w:val="Hyperlink"/>
          </w:rPr>
          <w:t>Public Health Dashboards - Devon Health and Wellbeing</w:t>
        </w:r>
      </w:hyperlink>
    </w:p>
    <w:p w14:paraId="7E6FE87D" w14:textId="77777777" w:rsidR="00794FD6" w:rsidRDefault="00794FD6" w:rsidP="00794FD6">
      <w:pPr>
        <w:pStyle w:val="ListParagraph"/>
        <w:numPr>
          <w:ilvl w:val="0"/>
          <w:numId w:val="3"/>
        </w:numPr>
      </w:pPr>
      <w:hyperlink r:id="rId25" w:history="1">
        <w:r w:rsidRPr="00494219">
          <w:rPr>
            <w:rStyle w:val="Hyperlink"/>
          </w:rPr>
          <w:t>Health and Wellbeing Library - Devon Health and Wellbeing</w:t>
        </w:r>
      </w:hyperlink>
    </w:p>
    <w:p w14:paraId="498165B3" w14:textId="5FA6A3FF" w:rsidR="00455238" w:rsidRDefault="006D2870" w:rsidP="00794FD6">
      <w:pPr>
        <w:pStyle w:val="ListParagraph"/>
        <w:numPr>
          <w:ilvl w:val="0"/>
          <w:numId w:val="3"/>
        </w:numPr>
      </w:pPr>
      <w:hyperlink r:id="rId26" w:history="1">
        <w:r>
          <w:rPr>
            <w:rStyle w:val="Hyperlink"/>
          </w:rPr>
          <w:t>Ageing Well in Devon Adult Social Care Strategy</w:t>
        </w:r>
      </w:hyperlink>
      <w:r>
        <w:t xml:space="preserve"> </w:t>
      </w:r>
    </w:p>
    <w:p w14:paraId="31F7AD40" w14:textId="6B024144" w:rsidR="00D75A06" w:rsidRDefault="00D75A06"/>
    <w:sectPr w:rsidR="00D75A06">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ADD57" w14:textId="77777777" w:rsidR="005D4D27" w:rsidRDefault="005D4D27" w:rsidP="00615C75">
      <w:pPr>
        <w:spacing w:after="0" w:line="240" w:lineRule="auto"/>
      </w:pPr>
      <w:r>
        <w:separator/>
      </w:r>
    </w:p>
  </w:endnote>
  <w:endnote w:type="continuationSeparator" w:id="0">
    <w:p w14:paraId="41132868" w14:textId="77777777" w:rsidR="005D4D27" w:rsidRDefault="005D4D27" w:rsidP="00615C75">
      <w:pPr>
        <w:spacing w:after="0" w:line="240" w:lineRule="auto"/>
      </w:pPr>
      <w:r>
        <w:continuationSeparator/>
      </w:r>
    </w:p>
  </w:endnote>
  <w:endnote w:type="continuationNotice" w:id="1">
    <w:p w14:paraId="3F073D25" w14:textId="77777777" w:rsidR="005D4D27" w:rsidRDefault="005D4D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1CF0" w14:textId="77777777" w:rsidR="00180767" w:rsidRDefault="00180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D06A" w14:textId="77777777" w:rsidR="00180767" w:rsidRDefault="00180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2B2E" w14:textId="77777777" w:rsidR="00180767" w:rsidRDefault="00180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21598" w14:textId="77777777" w:rsidR="005D4D27" w:rsidRDefault="005D4D27" w:rsidP="00615C75">
      <w:pPr>
        <w:spacing w:after="0" w:line="240" w:lineRule="auto"/>
      </w:pPr>
      <w:r>
        <w:separator/>
      </w:r>
    </w:p>
  </w:footnote>
  <w:footnote w:type="continuationSeparator" w:id="0">
    <w:p w14:paraId="01AC23E6" w14:textId="77777777" w:rsidR="005D4D27" w:rsidRDefault="005D4D27" w:rsidP="00615C75">
      <w:pPr>
        <w:spacing w:after="0" w:line="240" w:lineRule="auto"/>
      </w:pPr>
      <w:r>
        <w:continuationSeparator/>
      </w:r>
    </w:p>
  </w:footnote>
  <w:footnote w:type="continuationNotice" w:id="1">
    <w:p w14:paraId="7F68B4E1" w14:textId="77777777" w:rsidR="005D4D27" w:rsidRDefault="005D4D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490F" w14:textId="77777777" w:rsidR="00180767" w:rsidRDefault="00180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88FA" w14:textId="79BA3E17" w:rsidR="00615C75" w:rsidRDefault="00615C75">
    <w:pPr>
      <w:pStyle w:val="Header"/>
    </w:pPr>
    <w:r>
      <w:rPr>
        <w:noProof/>
        <w:lang w:eastAsia="en-GB"/>
      </w:rPr>
      <w:drawing>
        <wp:inline distT="0" distB="0" distL="0" distR="0" wp14:anchorId="2F271538" wp14:editId="297F94EE">
          <wp:extent cx="5731510" cy="476250"/>
          <wp:effectExtent l="0" t="0" r="2540" b="0"/>
          <wp:docPr id="21" name="Picture 21" descr="Public Health Devon Logo and Devon County Council (Letterhead Version)"/>
          <wp:cNvGraphicFramePr/>
          <a:graphic xmlns:a="http://schemas.openxmlformats.org/drawingml/2006/main">
            <a:graphicData uri="http://schemas.openxmlformats.org/drawingml/2006/picture">
              <pic:pic xmlns:pic="http://schemas.openxmlformats.org/drawingml/2006/picture">
                <pic:nvPicPr>
                  <pic:cNvPr id="21" name="Picture 21" descr="Public Health Devon Logo and Devon County Council (Letterhead Versio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76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51F9" w14:textId="77777777" w:rsidR="00180767" w:rsidRDefault="00180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0B43"/>
    <w:multiLevelType w:val="hybridMultilevel"/>
    <w:tmpl w:val="6A62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234AD"/>
    <w:multiLevelType w:val="multilevel"/>
    <w:tmpl w:val="1CD8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F1011"/>
    <w:multiLevelType w:val="hybridMultilevel"/>
    <w:tmpl w:val="05B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D7A9F"/>
    <w:multiLevelType w:val="multilevel"/>
    <w:tmpl w:val="EB3A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B739C"/>
    <w:multiLevelType w:val="hybridMultilevel"/>
    <w:tmpl w:val="7EE2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C94CCD"/>
    <w:multiLevelType w:val="multilevel"/>
    <w:tmpl w:val="2590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066B7"/>
    <w:multiLevelType w:val="multilevel"/>
    <w:tmpl w:val="8F18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D3D15"/>
    <w:multiLevelType w:val="hybridMultilevel"/>
    <w:tmpl w:val="9FC8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B50E7"/>
    <w:multiLevelType w:val="multilevel"/>
    <w:tmpl w:val="CE1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2437F5"/>
    <w:multiLevelType w:val="hybridMultilevel"/>
    <w:tmpl w:val="8DF6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038E9"/>
    <w:multiLevelType w:val="hybridMultilevel"/>
    <w:tmpl w:val="6984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974B26"/>
    <w:multiLevelType w:val="hybridMultilevel"/>
    <w:tmpl w:val="203CE5A2"/>
    <w:lvl w:ilvl="0" w:tplc="3FCA93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6D083C"/>
    <w:multiLevelType w:val="hybridMultilevel"/>
    <w:tmpl w:val="54E6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670D54"/>
    <w:multiLevelType w:val="hybridMultilevel"/>
    <w:tmpl w:val="9DAC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F76F7"/>
    <w:multiLevelType w:val="hybridMultilevel"/>
    <w:tmpl w:val="7ED091B2"/>
    <w:lvl w:ilvl="0" w:tplc="61F09E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FA4933"/>
    <w:multiLevelType w:val="multilevel"/>
    <w:tmpl w:val="E8A8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375ACE"/>
    <w:multiLevelType w:val="multilevel"/>
    <w:tmpl w:val="9A24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4D7E1C"/>
    <w:multiLevelType w:val="multilevel"/>
    <w:tmpl w:val="BD1E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9570FA"/>
    <w:multiLevelType w:val="multilevel"/>
    <w:tmpl w:val="CDF4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EB644A"/>
    <w:multiLevelType w:val="hybridMultilevel"/>
    <w:tmpl w:val="96C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4644D8"/>
    <w:multiLevelType w:val="hybridMultilevel"/>
    <w:tmpl w:val="3DF4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4D1626"/>
    <w:multiLevelType w:val="multilevel"/>
    <w:tmpl w:val="CC78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CF2CF1"/>
    <w:multiLevelType w:val="hybridMultilevel"/>
    <w:tmpl w:val="9A842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084441"/>
    <w:multiLevelType w:val="multilevel"/>
    <w:tmpl w:val="48D6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836A68"/>
    <w:multiLevelType w:val="multilevel"/>
    <w:tmpl w:val="DCB6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6453EB"/>
    <w:multiLevelType w:val="hybridMultilevel"/>
    <w:tmpl w:val="50D6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5C6CC7"/>
    <w:multiLevelType w:val="hybridMultilevel"/>
    <w:tmpl w:val="73341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E31253"/>
    <w:multiLevelType w:val="multilevel"/>
    <w:tmpl w:val="5486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8C756A"/>
    <w:multiLevelType w:val="hybridMultilevel"/>
    <w:tmpl w:val="7556D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DA72A2"/>
    <w:multiLevelType w:val="hybridMultilevel"/>
    <w:tmpl w:val="7466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133281">
    <w:abstractNumId w:val="11"/>
  </w:num>
  <w:num w:numId="2" w16cid:durableId="911815573">
    <w:abstractNumId w:val="23"/>
  </w:num>
  <w:num w:numId="3" w16cid:durableId="1448043354">
    <w:abstractNumId w:val="14"/>
  </w:num>
  <w:num w:numId="4" w16cid:durableId="517696866">
    <w:abstractNumId w:val="21"/>
  </w:num>
  <w:num w:numId="5" w16cid:durableId="1536771977">
    <w:abstractNumId w:val="17"/>
  </w:num>
  <w:num w:numId="6" w16cid:durableId="1709916195">
    <w:abstractNumId w:val="7"/>
  </w:num>
  <w:num w:numId="7" w16cid:durableId="236912704">
    <w:abstractNumId w:val="5"/>
  </w:num>
  <w:num w:numId="8" w16cid:durableId="993293233">
    <w:abstractNumId w:val="18"/>
  </w:num>
  <w:num w:numId="9" w16cid:durableId="179468149">
    <w:abstractNumId w:val="2"/>
  </w:num>
  <w:num w:numId="10" w16cid:durableId="735661597">
    <w:abstractNumId w:val="26"/>
  </w:num>
  <w:num w:numId="11" w16cid:durableId="406653847">
    <w:abstractNumId w:val="12"/>
  </w:num>
  <w:num w:numId="12" w16cid:durableId="1708334076">
    <w:abstractNumId w:val="19"/>
  </w:num>
  <w:num w:numId="13" w16cid:durableId="925070463">
    <w:abstractNumId w:val="25"/>
  </w:num>
  <w:num w:numId="14" w16cid:durableId="1260337378">
    <w:abstractNumId w:val="28"/>
  </w:num>
  <w:num w:numId="15" w16cid:durableId="1450540748">
    <w:abstractNumId w:val="9"/>
  </w:num>
  <w:num w:numId="16" w16cid:durableId="87167466">
    <w:abstractNumId w:val="29"/>
  </w:num>
  <w:num w:numId="17" w16cid:durableId="177695409">
    <w:abstractNumId w:val="22"/>
  </w:num>
  <w:num w:numId="18" w16cid:durableId="1342975236">
    <w:abstractNumId w:val="10"/>
  </w:num>
  <w:num w:numId="19" w16cid:durableId="2022468800">
    <w:abstractNumId w:val="13"/>
  </w:num>
  <w:num w:numId="20" w16cid:durableId="297801272">
    <w:abstractNumId w:val="4"/>
  </w:num>
  <w:num w:numId="21" w16cid:durableId="520513436">
    <w:abstractNumId w:val="0"/>
  </w:num>
  <w:num w:numId="22" w16cid:durableId="951087223">
    <w:abstractNumId w:val="20"/>
  </w:num>
  <w:num w:numId="23" w16cid:durableId="994260737">
    <w:abstractNumId w:val="24"/>
  </w:num>
  <w:num w:numId="24" w16cid:durableId="1347486219">
    <w:abstractNumId w:val="15"/>
  </w:num>
  <w:num w:numId="25" w16cid:durableId="1883010214">
    <w:abstractNumId w:val="1"/>
  </w:num>
  <w:num w:numId="26" w16cid:durableId="1379478716">
    <w:abstractNumId w:val="16"/>
  </w:num>
  <w:num w:numId="27" w16cid:durableId="1603295348">
    <w:abstractNumId w:val="27"/>
  </w:num>
  <w:num w:numId="28" w16cid:durableId="1407608892">
    <w:abstractNumId w:val="8"/>
  </w:num>
  <w:num w:numId="29" w16cid:durableId="612592774">
    <w:abstractNumId w:val="6"/>
  </w:num>
  <w:num w:numId="30" w16cid:durableId="1735011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D7"/>
    <w:rsid w:val="00001191"/>
    <w:rsid w:val="00002176"/>
    <w:rsid w:val="00010873"/>
    <w:rsid w:val="0002378F"/>
    <w:rsid w:val="000366A0"/>
    <w:rsid w:val="00041B16"/>
    <w:rsid w:val="00046586"/>
    <w:rsid w:val="00051A9B"/>
    <w:rsid w:val="00055C67"/>
    <w:rsid w:val="00075DA2"/>
    <w:rsid w:val="00083EB0"/>
    <w:rsid w:val="00084E96"/>
    <w:rsid w:val="00093E75"/>
    <w:rsid w:val="00094CCF"/>
    <w:rsid w:val="000A415A"/>
    <w:rsid w:val="000A770F"/>
    <w:rsid w:val="000B38B7"/>
    <w:rsid w:val="000B71D9"/>
    <w:rsid w:val="000C2B29"/>
    <w:rsid w:val="000C507F"/>
    <w:rsid w:val="000D46D5"/>
    <w:rsid w:val="000D688C"/>
    <w:rsid w:val="000E3298"/>
    <w:rsid w:val="000E44B2"/>
    <w:rsid w:val="0010345E"/>
    <w:rsid w:val="001068B0"/>
    <w:rsid w:val="00110FD7"/>
    <w:rsid w:val="00111621"/>
    <w:rsid w:val="00112DD7"/>
    <w:rsid w:val="001133C6"/>
    <w:rsid w:val="00117C16"/>
    <w:rsid w:val="00123227"/>
    <w:rsid w:val="001245D6"/>
    <w:rsid w:val="00146DB5"/>
    <w:rsid w:val="00147D3D"/>
    <w:rsid w:val="00151035"/>
    <w:rsid w:val="00151FE8"/>
    <w:rsid w:val="00173BF9"/>
    <w:rsid w:val="0017603D"/>
    <w:rsid w:val="00180767"/>
    <w:rsid w:val="00182774"/>
    <w:rsid w:val="00183026"/>
    <w:rsid w:val="00186A55"/>
    <w:rsid w:val="001947FF"/>
    <w:rsid w:val="00195C68"/>
    <w:rsid w:val="00197423"/>
    <w:rsid w:val="001B5634"/>
    <w:rsid w:val="001C7C4E"/>
    <w:rsid w:val="001D258B"/>
    <w:rsid w:val="001D7F2B"/>
    <w:rsid w:val="001E768E"/>
    <w:rsid w:val="001F1F9E"/>
    <w:rsid w:val="00210721"/>
    <w:rsid w:val="0021118B"/>
    <w:rsid w:val="00224736"/>
    <w:rsid w:val="002251D5"/>
    <w:rsid w:val="0023699C"/>
    <w:rsid w:val="00240FB4"/>
    <w:rsid w:val="002434B6"/>
    <w:rsid w:val="00245E68"/>
    <w:rsid w:val="002537E5"/>
    <w:rsid w:val="0026050C"/>
    <w:rsid w:val="00260A38"/>
    <w:rsid w:val="00266A31"/>
    <w:rsid w:val="0027312E"/>
    <w:rsid w:val="00277D55"/>
    <w:rsid w:val="002832C9"/>
    <w:rsid w:val="002837F9"/>
    <w:rsid w:val="00296B23"/>
    <w:rsid w:val="002A4A53"/>
    <w:rsid w:val="002A4E3D"/>
    <w:rsid w:val="002B7B68"/>
    <w:rsid w:val="002C4366"/>
    <w:rsid w:val="002D7818"/>
    <w:rsid w:val="002D78E5"/>
    <w:rsid w:val="002E2A74"/>
    <w:rsid w:val="002E5CC1"/>
    <w:rsid w:val="002E7F6F"/>
    <w:rsid w:val="002F4E9A"/>
    <w:rsid w:val="002F6B65"/>
    <w:rsid w:val="003024DE"/>
    <w:rsid w:val="0030568A"/>
    <w:rsid w:val="00306561"/>
    <w:rsid w:val="0031059F"/>
    <w:rsid w:val="00310974"/>
    <w:rsid w:val="00316CE7"/>
    <w:rsid w:val="00340633"/>
    <w:rsid w:val="003616FA"/>
    <w:rsid w:val="00367E16"/>
    <w:rsid w:val="003728AE"/>
    <w:rsid w:val="003743D0"/>
    <w:rsid w:val="0039367C"/>
    <w:rsid w:val="00396043"/>
    <w:rsid w:val="003A1919"/>
    <w:rsid w:val="003A29AB"/>
    <w:rsid w:val="003A4F87"/>
    <w:rsid w:val="003B5DCE"/>
    <w:rsid w:val="003C0AA0"/>
    <w:rsid w:val="003D09BF"/>
    <w:rsid w:val="003D5846"/>
    <w:rsid w:val="003E262F"/>
    <w:rsid w:val="003E6612"/>
    <w:rsid w:val="003E7D20"/>
    <w:rsid w:val="003F0DB4"/>
    <w:rsid w:val="003F32D9"/>
    <w:rsid w:val="003F4AAC"/>
    <w:rsid w:val="003F5ABA"/>
    <w:rsid w:val="003F767A"/>
    <w:rsid w:val="0040024A"/>
    <w:rsid w:val="0040192A"/>
    <w:rsid w:val="0042210E"/>
    <w:rsid w:val="00422222"/>
    <w:rsid w:val="00425011"/>
    <w:rsid w:val="00431D3C"/>
    <w:rsid w:val="0043506F"/>
    <w:rsid w:val="00442A82"/>
    <w:rsid w:val="00444686"/>
    <w:rsid w:val="0044476F"/>
    <w:rsid w:val="00451780"/>
    <w:rsid w:val="00455238"/>
    <w:rsid w:val="00466847"/>
    <w:rsid w:val="004709FA"/>
    <w:rsid w:val="00472CC6"/>
    <w:rsid w:val="0047320D"/>
    <w:rsid w:val="004814A1"/>
    <w:rsid w:val="00483A8B"/>
    <w:rsid w:val="004904F8"/>
    <w:rsid w:val="00494219"/>
    <w:rsid w:val="004A17C3"/>
    <w:rsid w:val="004B0D2F"/>
    <w:rsid w:val="004B4FDC"/>
    <w:rsid w:val="004B71AA"/>
    <w:rsid w:val="004C2C6D"/>
    <w:rsid w:val="004D27B7"/>
    <w:rsid w:val="004D5345"/>
    <w:rsid w:val="004D79F4"/>
    <w:rsid w:val="004E07ED"/>
    <w:rsid w:val="005018FF"/>
    <w:rsid w:val="005078D1"/>
    <w:rsid w:val="00511C29"/>
    <w:rsid w:val="00531E6A"/>
    <w:rsid w:val="00532953"/>
    <w:rsid w:val="00533D24"/>
    <w:rsid w:val="00540E73"/>
    <w:rsid w:val="005442FB"/>
    <w:rsid w:val="00546327"/>
    <w:rsid w:val="00576457"/>
    <w:rsid w:val="0057697C"/>
    <w:rsid w:val="005831AC"/>
    <w:rsid w:val="0058531C"/>
    <w:rsid w:val="00592F44"/>
    <w:rsid w:val="005A199D"/>
    <w:rsid w:val="005A1E52"/>
    <w:rsid w:val="005A494D"/>
    <w:rsid w:val="005A7D78"/>
    <w:rsid w:val="005B34EF"/>
    <w:rsid w:val="005B7311"/>
    <w:rsid w:val="005B760E"/>
    <w:rsid w:val="005B7B04"/>
    <w:rsid w:val="005D4D27"/>
    <w:rsid w:val="005E1E6C"/>
    <w:rsid w:val="005E7BF9"/>
    <w:rsid w:val="005F23DD"/>
    <w:rsid w:val="005F3702"/>
    <w:rsid w:val="005F4167"/>
    <w:rsid w:val="005F68E4"/>
    <w:rsid w:val="005F7737"/>
    <w:rsid w:val="006001D0"/>
    <w:rsid w:val="006028B6"/>
    <w:rsid w:val="006115F9"/>
    <w:rsid w:val="00615C75"/>
    <w:rsid w:val="00622EEC"/>
    <w:rsid w:val="00627A85"/>
    <w:rsid w:val="00627BA7"/>
    <w:rsid w:val="00630A4E"/>
    <w:rsid w:val="006310B6"/>
    <w:rsid w:val="00633E77"/>
    <w:rsid w:val="00636D29"/>
    <w:rsid w:val="00650C19"/>
    <w:rsid w:val="0065446B"/>
    <w:rsid w:val="006563F1"/>
    <w:rsid w:val="006653C4"/>
    <w:rsid w:val="006917CD"/>
    <w:rsid w:val="006A5994"/>
    <w:rsid w:val="006B197D"/>
    <w:rsid w:val="006B2298"/>
    <w:rsid w:val="006B27D2"/>
    <w:rsid w:val="006B5744"/>
    <w:rsid w:val="006C67B3"/>
    <w:rsid w:val="006C70BC"/>
    <w:rsid w:val="006C7E08"/>
    <w:rsid w:val="006D2870"/>
    <w:rsid w:val="006D4B7A"/>
    <w:rsid w:val="006E024A"/>
    <w:rsid w:val="006E0AE4"/>
    <w:rsid w:val="006E7BC3"/>
    <w:rsid w:val="006F2AAA"/>
    <w:rsid w:val="006F3AD5"/>
    <w:rsid w:val="006F550C"/>
    <w:rsid w:val="00700C73"/>
    <w:rsid w:val="0070261C"/>
    <w:rsid w:val="00710AC1"/>
    <w:rsid w:val="00713A3C"/>
    <w:rsid w:val="00717242"/>
    <w:rsid w:val="00742CEB"/>
    <w:rsid w:val="00745966"/>
    <w:rsid w:val="007523A3"/>
    <w:rsid w:val="00772F0A"/>
    <w:rsid w:val="0077350C"/>
    <w:rsid w:val="00783873"/>
    <w:rsid w:val="00784DCA"/>
    <w:rsid w:val="007907DE"/>
    <w:rsid w:val="0079192A"/>
    <w:rsid w:val="00794FD6"/>
    <w:rsid w:val="0079638C"/>
    <w:rsid w:val="007A71DD"/>
    <w:rsid w:val="007D7DB6"/>
    <w:rsid w:val="007F1574"/>
    <w:rsid w:val="0080423D"/>
    <w:rsid w:val="008059D9"/>
    <w:rsid w:val="008171AD"/>
    <w:rsid w:val="0082393A"/>
    <w:rsid w:val="008243D4"/>
    <w:rsid w:val="00833C4D"/>
    <w:rsid w:val="00835AA7"/>
    <w:rsid w:val="00854369"/>
    <w:rsid w:val="00862839"/>
    <w:rsid w:val="008828DD"/>
    <w:rsid w:val="00882D32"/>
    <w:rsid w:val="00883680"/>
    <w:rsid w:val="00887401"/>
    <w:rsid w:val="0089535E"/>
    <w:rsid w:val="008A5580"/>
    <w:rsid w:val="008A64EA"/>
    <w:rsid w:val="008B4C91"/>
    <w:rsid w:val="008F5BA5"/>
    <w:rsid w:val="00901FA8"/>
    <w:rsid w:val="0090684A"/>
    <w:rsid w:val="00907139"/>
    <w:rsid w:val="00917BFC"/>
    <w:rsid w:val="00925DC4"/>
    <w:rsid w:val="0093171F"/>
    <w:rsid w:val="00936290"/>
    <w:rsid w:val="009420D9"/>
    <w:rsid w:val="0095173B"/>
    <w:rsid w:val="009577E5"/>
    <w:rsid w:val="009630FF"/>
    <w:rsid w:val="00963426"/>
    <w:rsid w:val="009641B5"/>
    <w:rsid w:val="00972A3B"/>
    <w:rsid w:val="00973310"/>
    <w:rsid w:val="009734DB"/>
    <w:rsid w:val="0097493D"/>
    <w:rsid w:val="00983A00"/>
    <w:rsid w:val="0098618A"/>
    <w:rsid w:val="00990408"/>
    <w:rsid w:val="00995D03"/>
    <w:rsid w:val="009A2ED6"/>
    <w:rsid w:val="009A2EF6"/>
    <w:rsid w:val="009A6BEC"/>
    <w:rsid w:val="009C1061"/>
    <w:rsid w:val="009C1A3D"/>
    <w:rsid w:val="009C77E4"/>
    <w:rsid w:val="009D22D2"/>
    <w:rsid w:val="009D5958"/>
    <w:rsid w:val="009E082F"/>
    <w:rsid w:val="009E1246"/>
    <w:rsid w:val="009E1359"/>
    <w:rsid w:val="00A00B80"/>
    <w:rsid w:val="00A04AEE"/>
    <w:rsid w:val="00A05F27"/>
    <w:rsid w:val="00A06C60"/>
    <w:rsid w:val="00A10281"/>
    <w:rsid w:val="00A22903"/>
    <w:rsid w:val="00A37B93"/>
    <w:rsid w:val="00A37E49"/>
    <w:rsid w:val="00A52549"/>
    <w:rsid w:val="00A52F4B"/>
    <w:rsid w:val="00A64555"/>
    <w:rsid w:val="00A67375"/>
    <w:rsid w:val="00A71EBA"/>
    <w:rsid w:val="00A73988"/>
    <w:rsid w:val="00A75A91"/>
    <w:rsid w:val="00A77924"/>
    <w:rsid w:val="00A800FA"/>
    <w:rsid w:val="00A911D2"/>
    <w:rsid w:val="00A927E4"/>
    <w:rsid w:val="00AA0913"/>
    <w:rsid w:val="00AA3F2F"/>
    <w:rsid w:val="00AB1CC8"/>
    <w:rsid w:val="00AB3EB1"/>
    <w:rsid w:val="00AB6DE7"/>
    <w:rsid w:val="00AC06AB"/>
    <w:rsid w:val="00AC2FB2"/>
    <w:rsid w:val="00AE2C34"/>
    <w:rsid w:val="00AF0D9E"/>
    <w:rsid w:val="00AF468C"/>
    <w:rsid w:val="00B04A1F"/>
    <w:rsid w:val="00B15DD7"/>
    <w:rsid w:val="00B34579"/>
    <w:rsid w:val="00B35200"/>
    <w:rsid w:val="00B35C73"/>
    <w:rsid w:val="00B43E21"/>
    <w:rsid w:val="00B504EB"/>
    <w:rsid w:val="00B65EDA"/>
    <w:rsid w:val="00B67AD1"/>
    <w:rsid w:val="00B74B1E"/>
    <w:rsid w:val="00B74EF0"/>
    <w:rsid w:val="00B86DA3"/>
    <w:rsid w:val="00B93DDB"/>
    <w:rsid w:val="00BA51D6"/>
    <w:rsid w:val="00BA6895"/>
    <w:rsid w:val="00BB2D4B"/>
    <w:rsid w:val="00BB3990"/>
    <w:rsid w:val="00BB6AEC"/>
    <w:rsid w:val="00BC65B9"/>
    <w:rsid w:val="00BC73AC"/>
    <w:rsid w:val="00BD2518"/>
    <w:rsid w:val="00BD2570"/>
    <w:rsid w:val="00BD4413"/>
    <w:rsid w:val="00BD532E"/>
    <w:rsid w:val="00BE0A91"/>
    <w:rsid w:val="00BE2C78"/>
    <w:rsid w:val="00BE3F51"/>
    <w:rsid w:val="00BE5752"/>
    <w:rsid w:val="00BF01E6"/>
    <w:rsid w:val="00BF3737"/>
    <w:rsid w:val="00BF7F74"/>
    <w:rsid w:val="00C04621"/>
    <w:rsid w:val="00C07497"/>
    <w:rsid w:val="00C24FC5"/>
    <w:rsid w:val="00C31C92"/>
    <w:rsid w:val="00C36C6C"/>
    <w:rsid w:val="00C40ABD"/>
    <w:rsid w:val="00C40F58"/>
    <w:rsid w:val="00C447A2"/>
    <w:rsid w:val="00C50E0F"/>
    <w:rsid w:val="00C56D76"/>
    <w:rsid w:val="00C5718F"/>
    <w:rsid w:val="00C64CC7"/>
    <w:rsid w:val="00C7061A"/>
    <w:rsid w:val="00C749B7"/>
    <w:rsid w:val="00C81BEA"/>
    <w:rsid w:val="00C863A8"/>
    <w:rsid w:val="00C93A67"/>
    <w:rsid w:val="00C96177"/>
    <w:rsid w:val="00CA0E33"/>
    <w:rsid w:val="00CA1CF9"/>
    <w:rsid w:val="00CA2049"/>
    <w:rsid w:val="00CA465B"/>
    <w:rsid w:val="00CA4D7E"/>
    <w:rsid w:val="00CA5F98"/>
    <w:rsid w:val="00CA5FA3"/>
    <w:rsid w:val="00CB6C60"/>
    <w:rsid w:val="00CD7417"/>
    <w:rsid w:val="00CE6286"/>
    <w:rsid w:val="00CF325B"/>
    <w:rsid w:val="00D0232A"/>
    <w:rsid w:val="00D044A4"/>
    <w:rsid w:val="00D053BF"/>
    <w:rsid w:val="00D0594C"/>
    <w:rsid w:val="00D065E4"/>
    <w:rsid w:val="00D13F75"/>
    <w:rsid w:val="00D15079"/>
    <w:rsid w:val="00D170FD"/>
    <w:rsid w:val="00D319CD"/>
    <w:rsid w:val="00D330E8"/>
    <w:rsid w:val="00D419B8"/>
    <w:rsid w:val="00D42ACE"/>
    <w:rsid w:val="00D524F7"/>
    <w:rsid w:val="00D654D7"/>
    <w:rsid w:val="00D6782E"/>
    <w:rsid w:val="00D70F6F"/>
    <w:rsid w:val="00D72328"/>
    <w:rsid w:val="00D72B06"/>
    <w:rsid w:val="00D75A06"/>
    <w:rsid w:val="00D87FC0"/>
    <w:rsid w:val="00D93214"/>
    <w:rsid w:val="00D94C9E"/>
    <w:rsid w:val="00D9716E"/>
    <w:rsid w:val="00DA0B7D"/>
    <w:rsid w:val="00DA4B01"/>
    <w:rsid w:val="00DA6E72"/>
    <w:rsid w:val="00DD2F7F"/>
    <w:rsid w:val="00DF6A15"/>
    <w:rsid w:val="00E02C38"/>
    <w:rsid w:val="00E06B30"/>
    <w:rsid w:val="00E109A5"/>
    <w:rsid w:val="00E23B0B"/>
    <w:rsid w:val="00E250D2"/>
    <w:rsid w:val="00E2650B"/>
    <w:rsid w:val="00E33C58"/>
    <w:rsid w:val="00E35FD3"/>
    <w:rsid w:val="00E510A3"/>
    <w:rsid w:val="00E5428C"/>
    <w:rsid w:val="00E610A8"/>
    <w:rsid w:val="00E73A0C"/>
    <w:rsid w:val="00E73C5F"/>
    <w:rsid w:val="00E8105D"/>
    <w:rsid w:val="00E828F3"/>
    <w:rsid w:val="00E9202A"/>
    <w:rsid w:val="00EC3E1B"/>
    <w:rsid w:val="00EF63FD"/>
    <w:rsid w:val="00EF692F"/>
    <w:rsid w:val="00EF7115"/>
    <w:rsid w:val="00EF7969"/>
    <w:rsid w:val="00F05791"/>
    <w:rsid w:val="00F210F6"/>
    <w:rsid w:val="00F21834"/>
    <w:rsid w:val="00F24E83"/>
    <w:rsid w:val="00F25106"/>
    <w:rsid w:val="00F30550"/>
    <w:rsid w:val="00F31BDE"/>
    <w:rsid w:val="00F472F9"/>
    <w:rsid w:val="00F615C2"/>
    <w:rsid w:val="00F648C3"/>
    <w:rsid w:val="00F65571"/>
    <w:rsid w:val="00F70283"/>
    <w:rsid w:val="00F756A9"/>
    <w:rsid w:val="00F827DB"/>
    <w:rsid w:val="00F93A40"/>
    <w:rsid w:val="00FA1620"/>
    <w:rsid w:val="00FA26C1"/>
    <w:rsid w:val="00FA593A"/>
    <w:rsid w:val="00FC3038"/>
    <w:rsid w:val="00FE3C10"/>
    <w:rsid w:val="0149A21D"/>
    <w:rsid w:val="0262F7D8"/>
    <w:rsid w:val="0BE6D53F"/>
    <w:rsid w:val="0D339220"/>
    <w:rsid w:val="110FCBD1"/>
    <w:rsid w:val="12508931"/>
    <w:rsid w:val="1943709C"/>
    <w:rsid w:val="1AE43ABE"/>
    <w:rsid w:val="21568F13"/>
    <w:rsid w:val="21EAF246"/>
    <w:rsid w:val="263E3ACF"/>
    <w:rsid w:val="27ACCD49"/>
    <w:rsid w:val="2B3AEFB5"/>
    <w:rsid w:val="2EBFFD7A"/>
    <w:rsid w:val="3209E343"/>
    <w:rsid w:val="3DE8A3AD"/>
    <w:rsid w:val="438B82B4"/>
    <w:rsid w:val="4539E362"/>
    <w:rsid w:val="481D6F52"/>
    <w:rsid w:val="48454A0E"/>
    <w:rsid w:val="4AAA1CDE"/>
    <w:rsid w:val="4EF7F020"/>
    <w:rsid w:val="54F45BA1"/>
    <w:rsid w:val="55FCE03E"/>
    <w:rsid w:val="59E831F4"/>
    <w:rsid w:val="5F71156A"/>
    <w:rsid w:val="6009AF07"/>
    <w:rsid w:val="6201F991"/>
    <w:rsid w:val="62F1C061"/>
    <w:rsid w:val="649A1286"/>
    <w:rsid w:val="6B70847E"/>
    <w:rsid w:val="6C6CCF26"/>
    <w:rsid w:val="6D309611"/>
    <w:rsid w:val="72B1E9E8"/>
    <w:rsid w:val="773CD5CB"/>
    <w:rsid w:val="77E1631B"/>
    <w:rsid w:val="79523DCA"/>
    <w:rsid w:val="7B8F1B16"/>
    <w:rsid w:val="7C85D7C9"/>
    <w:rsid w:val="7F86C7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C8792"/>
  <w15:chartTrackingRefBased/>
  <w15:docId w15:val="{7274794F-0184-4256-AD9D-22FFA566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D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5D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D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D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5D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5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D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D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D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D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D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DD7"/>
    <w:rPr>
      <w:rFonts w:eastAsiaTheme="majorEastAsia" w:cstheme="majorBidi"/>
      <w:color w:val="272727" w:themeColor="text1" w:themeTint="D8"/>
    </w:rPr>
  </w:style>
  <w:style w:type="paragraph" w:styleId="Title">
    <w:name w:val="Title"/>
    <w:basedOn w:val="Normal"/>
    <w:next w:val="Normal"/>
    <w:link w:val="TitleChar"/>
    <w:uiPriority w:val="10"/>
    <w:qFormat/>
    <w:rsid w:val="00B15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DD7"/>
    <w:pPr>
      <w:spacing w:before="160"/>
      <w:jc w:val="center"/>
    </w:pPr>
    <w:rPr>
      <w:i/>
      <w:iCs/>
      <w:color w:val="404040" w:themeColor="text1" w:themeTint="BF"/>
    </w:rPr>
  </w:style>
  <w:style w:type="character" w:customStyle="1" w:styleId="QuoteChar">
    <w:name w:val="Quote Char"/>
    <w:basedOn w:val="DefaultParagraphFont"/>
    <w:link w:val="Quote"/>
    <w:uiPriority w:val="29"/>
    <w:rsid w:val="00B15DD7"/>
    <w:rPr>
      <w:i/>
      <w:iCs/>
      <w:color w:val="404040" w:themeColor="text1" w:themeTint="BF"/>
    </w:rPr>
  </w:style>
  <w:style w:type="paragraph" w:styleId="ListParagraph">
    <w:name w:val="List Paragraph"/>
    <w:basedOn w:val="Normal"/>
    <w:uiPriority w:val="34"/>
    <w:qFormat/>
    <w:rsid w:val="00B15DD7"/>
    <w:pPr>
      <w:ind w:left="720"/>
      <w:contextualSpacing/>
    </w:pPr>
  </w:style>
  <w:style w:type="character" w:styleId="IntenseEmphasis">
    <w:name w:val="Intense Emphasis"/>
    <w:basedOn w:val="DefaultParagraphFont"/>
    <w:uiPriority w:val="21"/>
    <w:qFormat/>
    <w:rsid w:val="00B15DD7"/>
    <w:rPr>
      <w:i/>
      <w:iCs/>
      <w:color w:val="2F5496" w:themeColor="accent1" w:themeShade="BF"/>
    </w:rPr>
  </w:style>
  <w:style w:type="paragraph" w:styleId="IntenseQuote">
    <w:name w:val="Intense Quote"/>
    <w:basedOn w:val="Normal"/>
    <w:next w:val="Normal"/>
    <w:link w:val="IntenseQuoteChar"/>
    <w:uiPriority w:val="30"/>
    <w:qFormat/>
    <w:rsid w:val="00B15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DD7"/>
    <w:rPr>
      <w:i/>
      <w:iCs/>
      <w:color w:val="2F5496" w:themeColor="accent1" w:themeShade="BF"/>
    </w:rPr>
  </w:style>
  <w:style w:type="character" w:styleId="IntenseReference">
    <w:name w:val="Intense Reference"/>
    <w:basedOn w:val="DefaultParagraphFont"/>
    <w:uiPriority w:val="32"/>
    <w:qFormat/>
    <w:rsid w:val="00B15DD7"/>
    <w:rPr>
      <w:b/>
      <w:bCs/>
      <w:smallCaps/>
      <w:color w:val="2F5496" w:themeColor="accent1" w:themeShade="BF"/>
      <w:spacing w:val="5"/>
    </w:rPr>
  </w:style>
  <w:style w:type="paragraph" w:styleId="Header">
    <w:name w:val="header"/>
    <w:basedOn w:val="Normal"/>
    <w:link w:val="HeaderChar"/>
    <w:uiPriority w:val="99"/>
    <w:unhideWhenUsed/>
    <w:rsid w:val="00615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C75"/>
  </w:style>
  <w:style w:type="paragraph" w:styleId="Footer">
    <w:name w:val="footer"/>
    <w:basedOn w:val="Normal"/>
    <w:link w:val="FooterChar"/>
    <w:uiPriority w:val="99"/>
    <w:unhideWhenUsed/>
    <w:rsid w:val="00615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C75"/>
  </w:style>
  <w:style w:type="character" w:styleId="Hyperlink">
    <w:name w:val="Hyperlink"/>
    <w:basedOn w:val="DefaultParagraphFont"/>
    <w:uiPriority w:val="99"/>
    <w:unhideWhenUsed/>
    <w:rsid w:val="00260A38"/>
    <w:rPr>
      <w:color w:val="0563C1" w:themeColor="hyperlink"/>
      <w:u w:val="single"/>
    </w:rPr>
  </w:style>
  <w:style w:type="character" w:styleId="UnresolvedMention">
    <w:name w:val="Unresolved Mention"/>
    <w:basedOn w:val="DefaultParagraphFont"/>
    <w:uiPriority w:val="99"/>
    <w:semiHidden/>
    <w:unhideWhenUsed/>
    <w:rsid w:val="00260A38"/>
    <w:rPr>
      <w:color w:val="605E5C"/>
      <w:shd w:val="clear" w:color="auto" w:fill="E1DFDD"/>
    </w:rPr>
  </w:style>
  <w:style w:type="table" w:styleId="TableGrid">
    <w:name w:val="Table Grid"/>
    <w:basedOn w:val="TableNormal"/>
    <w:uiPriority w:val="59"/>
    <w:rsid w:val="00E02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34579"/>
    <w:pPr>
      <w:spacing w:after="0" w:line="240" w:lineRule="auto"/>
    </w:pPr>
  </w:style>
  <w:style w:type="paragraph" w:styleId="CommentSubject">
    <w:name w:val="annotation subject"/>
    <w:basedOn w:val="CommentText"/>
    <w:next w:val="CommentText"/>
    <w:link w:val="CommentSubjectChar"/>
    <w:uiPriority w:val="99"/>
    <w:semiHidden/>
    <w:unhideWhenUsed/>
    <w:rsid w:val="00AF0D9E"/>
    <w:rPr>
      <w:b/>
      <w:bCs/>
    </w:rPr>
  </w:style>
  <w:style w:type="character" w:customStyle="1" w:styleId="CommentSubjectChar">
    <w:name w:val="Comment Subject Char"/>
    <w:basedOn w:val="CommentTextChar"/>
    <w:link w:val="CommentSubject"/>
    <w:uiPriority w:val="99"/>
    <w:semiHidden/>
    <w:rsid w:val="00AF0D9E"/>
    <w:rPr>
      <w:b/>
      <w:bCs/>
      <w:sz w:val="20"/>
      <w:szCs w:val="20"/>
    </w:rPr>
  </w:style>
  <w:style w:type="table" w:styleId="GridTable5Dark-Accent1">
    <w:name w:val="Grid Table 5 Dark Accent 1"/>
    <w:basedOn w:val="TableNormal"/>
    <w:uiPriority w:val="50"/>
    <w:rsid w:val="00CA46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CA46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1">
    <w:name w:val="Grid Table 4 Accent 1"/>
    <w:basedOn w:val="TableNormal"/>
    <w:uiPriority w:val="49"/>
    <w:rsid w:val="00CA465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tion">
    <w:name w:val="Mention"/>
    <w:basedOn w:val="DefaultParagraphFont"/>
    <w:uiPriority w:val="99"/>
    <w:unhideWhenUsed/>
    <w:rsid w:val="002837F9"/>
    <w:rPr>
      <w:color w:val="2B579A"/>
      <w:shd w:val="clear" w:color="auto" w:fill="E1DFDD"/>
    </w:rPr>
  </w:style>
  <w:style w:type="character" w:styleId="FollowedHyperlink">
    <w:name w:val="FollowedHyperlink"/>
    <w:basedOn w:val="DefaultParagraphFont"/>
    <w:uiPriority w:val="99"/>
    <w:semiHidden/>
    <w:unhideWhenUsed/>
    <w:rsid w:val="00F615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3731">
      <w:bodyDiv w:val="1"/>
      <w:marLeft w:val="0"/>
      <w:marRight w:val="0"/>
      <w:marTop w:val="0"/>
      <w:marBottom w:val="0"/>
      <w:divBdr>
        <w:top w:val="none" w:sz="0" w:space="0" w:color="auto"/>
        <w:left w:val="none" w:sz="0" w:space="0" w:color="auto"/>
        <w:bottom w:val="none" w:sz="0" w:space="0" w:color="auto"/>
        <w:right w:val="none" w:sz="0" w:space="0" w:color="auto"/>
      </w:divBdr>
    </w:div>
    <w:div w:id="159859674">
      <w:bodyDiv w:val="1"/>
      <w:marLeft w:val="0"/>
      <w:marRight w:val="0"/>
      <w:marTop w:val="0"/>
      <w:marBottom w:val="0"/>
      <w:divBdr>
        <w:top w:val="none" w:sz="0" w:space="0" w:color="auto"/>
        <w:left w:val="none" w:sz="0" w:space="0" w:color="auto"/>
        <w:bottom w:val="none" w:sz="0" w:space="0" w:color="auto"/>
        <w:right w:val="none" w:sz="0" w:space="0" w:color="auto"/>
      </w:divBdr>
    </w:div>
    <w:div w:id="193856875">
      <w:bodyDiv w:val="1"/>
      <w:marLeft w:val="0"/>
      <w:marRight w:val="0"/>
      <w:marTop w:val="0"/>
      <w:marBottom w:val="0"/>
      <w:divBdr>
        <w:top w:val="none" w:sz="0" w:space="0" w:color="auto"/>
        <w:left w:val="none" w:sz="0" w:space="0" w:color="auto"/>
        <w:bottom w:val="none" w:sz="0" w:space="0" w:color="auto"/>
        <w:right w:val="none" w:sz="0" w:space="0" w:color="auto"/>
      </w:divBdr>
    </w:div>
    <w:div w:id="228927967">
      <w:bodyDiv w:val="1"/>
      <w:marLeft w:val="0"/>
      <w:marRight w:val="0"/>
      <w:marTop w:val="0"/>
      <w:marBottom w:val="0"/>
      <w:divBdr>
        <w:top w:val="none" w:sz="0" w:space="0" w:color="auto"/>
        <w:left w:val="none" w:sz="0" w:space="0" w:color="auto"/>
        <w:bottom w:val="none" w:sz="0" w:space="0" w:color="auto"/>
        <w:right w:val="none" w:sz="0" w:space="0" w:color="auto"/>
      </w:divBdr>
    </w:div>
    <w:div w:id="232474336">
      <w:bodyDiv w:val="1"/>
      <w:marLeft w:val="0"/>
      <w:marRight w:val="0"/>
      <w:marTop w:val="0"/>
      <w:marBottom w:val="0"/>
      <w:divBdr>
        <w:top w:val="none" w:sz="0" w:space="0" w:color="auto"/>
        <w:left w:val="none" w:sz="0" w:space="0" w:color="auto"/>
        <w:bottom w:val="none" w:sz="0" w:space="0" w:color="auto"/>
        <w:right w:val="none" w:sz="0" w:space="0" w:color="auto"/>
      </w:divBdr>
    </w:div>
    <w:div w:id="290597570">
      <w:bodyDiv w:val="1"/>
      <w:marLeft w:val="0"/>
      <w:marRight w:val="0"/>
      <w:marTop w:val="0"/>
      <w:marBottom w:val="0"/>
      <w:divBdr>
        <w:top w:val="none" w:sz="0" w:space="0" w:color="auto"/>
        <w:left w:val="none" w:sz="0" w:space="0" w:color="auto"/>
        <w:bottom w:val="none" w:sz="0" w:space="0" w:color="auto"/>
        <w:right w:val="none" w:sz="0" w:space="0" w:color="auto"/>
      </w:divBdr>
    </w:div>
    <w:div w:id="310254791">
      <w:bodyDiv w:val="1"/>
      <w:marLeft w:val="0"/>
      <w:marRight w:val="0"/>
      <w:marTop w:val="0"/>
      <w:marBottom w:val="0"/>
      <w:divBdr>
        <w:top w:val="none" w:sz="0" w:space="0" w:color="auto"/>
        <w:left w:val="none" w:sz="0" w:space="0" w:color="auto"/>
        <w:bottom w:val="none" w:sz="0" w:space="0" w:color="auto"/>
        <w:right w:val="none" w:sz="0" w:space="0" w:color="auto"/>
      </w:divBdr>
    </w:div>
    <w:div w:id="410078899">
      <w:bodyDiv w:val="1"/>
      <w:marLeft w:val="0"/>
      <w:marRight w:val="0"/>
      <w:marTop w:val="0"/>
      <w:marBottom w:val="0"/>
      <w:divBdr>
        <w:top w:val="none" w:sz="0" w:space="0" w:color="auto"/>
        <w:left w:val="none" w:sz="0" w:space="0" w:color="auto"/>
        <w:bottom w:val="none" w:sz="0" w:space="0" w:color="auto"/>
        <w:right w:val="none" w:sz="0" w:space="0" w:color="auto"/>
      </w:divBdr>
    </w:div>
    <w:div w:id="421727584">
      <w:bodyDiv w:val="1"/>
      <w:marLeft w:val="0"/>
      <w:marRight w:val="0"/>
      <w:marTop w:val="0"/>
      <w:marBottom w:val="0"/>
      <w:divBdr>
        <w:top w:val="none" w:sz="0" w:space="0" w:color="auto"/>
        <w:left w:val="none" w:sz="0" w:space="0" w:color="auto"/>
        <w:bottom w:val="none" w:sz="0" w:space="0" w:color="auto"/>
        <w:right w:val="none" w:sz="0" w:space="0" w:color="auto"/>
      </w:divBdr>
    </w:div>
    <w:div w:id="469715320">
      <w:bodyDiv w:val="1"/>
      <w:marLeft w:val="0"/>
      <w:marRight w:val="0"/>
      <w:marTop w:val="0"/>
      <w:marBottom w:val="0"/>
      <w:divBdr>
        <w:top w:val="none" w:sz="0" w:space="0" w:color="auto"/>
        <w:left w:val="none" w:sz="0" w:space="0" w:color="auto"/>
        <w:bottom w:val="none" w:sz="0" w:space="0" w:color="auto"/>
        <w:right w:val="none" w:sz="0" w:space="0" w:color="auto"/>
      </w:divBdr>
    </w:div>
    <w:div w:id="472021960">
      <w:bodyDiv w:val="1"/>
      <w:marLeft w:val="0"/>
      <w:marRight w:val="0"/>
      <w:marTop w:val="0"/>
      <w:marBottom w:val="0"/>
      <w:divBdr>
        <w:top w:val="none" w:sz="0" w:space="0" w:color="auto"/>
        <w:left w:val="none" w:sz="0" w:space="0" w:color="auto"/>
        <w:bottom w:val="none" w:sz="0" w:space="0" w:color="auto"/>
        <w:right w:val="none" w:sz="0" w:space="0" w:color="auto"/>
      </w:divBdr>
    </w:div>
    <w:div w:id="581833789">
      <w:bodyDiv w:val="1"/>
      <w:marLeft w:val="0"/>
      <w:marRight w:val="0"/>
      <w:marTop w:val="0"/>
      <w:marBottom w:val="0"/>
      <w:divBdr>
        <w:top w:val="none" w:sz="0" w:space="0" w:color="auto"/>
        <w:left w:val="none" w:sz="0" w:space="0" w:color="auto"/>
        <w:bottom w:val="none" w:sz="0" w:space="0" w:color="auto"/>
        <w:right w:val="none" w:sz="0" w:space="0" w:color="auto"/>
      </w:divBdr>
    </w:div>
    <w:div w:id="612252800">
      <w:bodyDiv w:val="1"/>
      <w:marLeft w:val="0"/>
      <w:marRight w:val="0"/>
      <w:marTop w:val="0"/>
      <w:marBottom w:val="0"/>
      <w:divBdr>
        <w:top w:val="none" w:sz="0" w:space="0" w:color="auto"/>
        <w:left w:val="none" w:sz="0" w:space="0" w:color="auto"/>
        <w:bottom w:val="none" w:sz="0" w:space="0" w:color="auto"/>
        <w:right w:val="none" w:sz="0" w:space="0" w:color="auto"/>
      </w:divBdr>
    </w:div>
    <w:div w:id="62307473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741949954">
      <w:bodyDiv w:val="1"/>
      <w:marLeft w:val="0"/>
      <w:marRight w:val="0"/>
      <w:marTop w:val="0"/>
      <w:marBottom w:val="0"/>
      <w:divBdr>
        <w:top w:val="none" w:sz="0" w:space="0" w:color="auto"/>
        <w:left w:val="none" w:sz="0" w:space="0" w:color="auto"/>
        <w:bottom w:val="none" w:sz="0" w:space="0" w:color="auto"/>
        <w:right w:val="none" w:sz="0" w:space="0" w:color="auto"/>
      </w:divBdr>
    </w:div>
    <w:div w:id="782647623">
      <w:bodyDiv w:val="1"/>
      <w:marLeft w:val="0"/>
      <w:marRight w:val="0"/>
      <w:marTop w:val="0"/>
      <w:marBottom w:val="0"/>
      <w:divBdr>
        <w:top w:val="none" w:sz="0" w:space="0" w:color="auto"/>
        <w:left w:val="none" w:sz="0" w:space="0" w:color="auto"/>
        <w:bottom w:val="none" w:sz="0" w:space="0" w:color="auto"/>
        <w:right w:val="none" w:sz="0" w:space="0" w:color="auto"/>
      </w:divBdr>
    </w:div>
    <w:div w:id="850024274">
      <w:bodyDiv w:val="1"/>
      <w:marLeft w:val="0"/>
      <w:marRight w:val="0"/>
      <w:marTop w:val="0"/>
      <w:marBottom w:val="0"/>
      <w:divBdr>
        <w:top w:val="none" w:sz="0" w:space="0" w:color="auto"/>
        <w:left w:val="none" w:sz="0" w:space="0" w:color="auto"/>
        <w:bottom w:val="none" w:sz="0" w:space="0" w:color="auto"/>
        <w:right w:val="none" w:sz="0" w:space="0" w:color="auto"/>
      </w:divBdr>
    </w:div>
    <w:div w:id="901985596">
      <w:bodyDiv w:val="1"/>
      <w:marLeft w:val="0"/>
      <w:marRight w:val="0"/>
      <w:marTop w:val="0"/>
      <w:marBottom w:val="0"/>
      <w:divBdr>
        <w:top w:val="none" w:sz="0" w:space="0" w:color="auto"/>
        <w:left w:val="none" w:sz="0" w:space="0" w:color="auto"/>
        <w:bottom w:val="none" w:sz="0" w:space="0" w:color="auto"/>
        <w:right w:val="none" w:sz="0" w:space="0" w:color="auto"/>
      </w:divBdr>
    </w:div>
    <w:div w:id="992374614">
      <w:bodyDiv w:val="1"/>
      <w:marLeft w:val="0"/>
      <w:marRight w:val="0"/>
      <w:marTop w:val="0"/>
      <w:marBottom w:val="0"/>
      <w:divBdr>
        <w:top w:val="none" w:sz="0" w:space="0" w:color="auto"/>
        <w:left w:val="none" w:sz="0" w:space="0" w:color="auto"/>
        <w:bottom w:val="none" w:sz="0" w:space="0" w:color="auto"/>
        <w:right w:val="none" w:sz="0" w:space="0" w:color="auto"/>
      </w:divBdr>
    </w:div>
    <w:div w:id="1139112833">
      <w:bodyDiv w:val="1"/>
      <w:marLeft w:val="0"/>
      <w:marRight w:val="0"/>
      <w:marTop w:val="0"/>
      <w:marBottom w:val="0"/>
      <w:divBdr>
        <w:top w:val="none" w:sz="0" w:space="0" w:color="auto"/>
        <w:left w:val="none" w:sz="0" w:space="0" w:color="auto"/>
        <w:bottom w:val="none" w:sz="0" w:space="0" w:color="auto"/>
        <w:right w:val="none" w:sz="0" w:space="0" w:color="auto"/>
      </w:divBdr>
    </w:div>
    <w:div w:id="1170948869">
      <w:bodyDiv w:val="1"/>
      <w:marLeft w:val="0"/>
      <w:marRight w:val="0"/>
      <w:marTop w:val="0"/>
      <w:marBottom w:val="0"/>
      <w:divBdr>
        <w:top w:val="none" w:sz="0" w:space="0" w:color="auto"/>
        <w:left w:val="none" w:sz="0" w:space="0" w:color="auto"/>
        <w:bottom w:val="none" w:sz="0" w:space="0" w:color="auto"/>
        <w:right w:val="none" w:sz="0" w:space="0" w:color="auto"/>
      </w:divBdr>
    </w:div>
    <w:div w:id="1294216984">
      <w:bodyDiv w:val="1"/>
      <w:marLeft w:val="0"/>
      <w:marRight w:val="0"/>
      <w:marTop w:val="0"/>
      <w:marBottom w:val="0"/>
      <w:divBdr>
        <w:top w:val="none" w:sz="0" w:space="0" w:color="auto"/>
        <w:left w:val="none" w:sz="0" w:space="0" w:color="auto"/>
        <w:bottom w:val="none" w:sz="0" w:space="0" w:color="auto"/>
        <w:right w:val="none" w:sz="0" w:space="0" w:color="auto"/>
      </w:divBdr>
    </w:div>
    <w:div w:id="1337613057">
      <w:bodyDiv w:val="1"/>
      <w:marLeft w:val="0"/>
      <w:marRight w:val="0"/>
      <w:marTop w:val="0"/>
      <w:marBottom w:val="0"/>
      <w:divBdr>
        <w:top w:val="none" w:sz="0" w:space="0" w:color="auto"/>
        <w:left w:val="none" w:sz="0" w:space="0" w:color="auto"/>
        <w:bottom w:val="none" w:sz="0" w:space="0" w:color="auto"/>
        <w:right w:val="none" w:sz="0" w:space="0" w:color="auto"/>
      </w:divBdr>
    </w:div>
    <w:div w:id="1412239202">
      <w:bodyDiv w:val="1"/>
      <w:marLeft w:val="0"/>
      <w:marRight w:val="0"/>
      <w:marTop w:val="0"/>
      <w:marBottom w:val="0"/>
      <w:divBdr>
        <w:top w:val="none" w:sz="0" w:space="0" w:color="auto"/>
        <w:left w:val="none" w:sz="0" w:space="0" w:color="auto"/>
        <w:bottom w:val="none" w:sz="0" w:space="0" w:color="auto"/>
        <w:right w:val="none" w:sz="0" w:space="0" w:color="auto"/>
      </w:divBdr>
    </w:div>
    <w:div w:id="1463962758">
      <w:bodyDiv w:val="1"/>
      <w:marLeft w:val="0"/>
      <w:marRight w:val="0"/>
      <w:marTop w:val="0"/>
      <w:marBottom w:val="0"/>
      <w:divBdr>
        <w:top w:val="none" w:sz="0" w:space="0" w:color="auto"/>
        <w:left w:val="none" w:sz="0" w:space="0" w:color="auto"/>
        <w:bottom w:val="none" w:sz="0" w:space="0" w:color="auto"/>
        <w:right w:val="none" w:sz="0" w:space="0" w:color="auto"/>
      </w:divBdr>
    </w:div>
    <w:div w:id="1479105241">
      <w:bodyDiv w:val="1"/>
      <w:marLeft w:val="0"/>
      <w:marRight w:val="0"/>
      <w:marTop w:val="0"/>
      <w:marBottom w:val="0"/>
      <w:divBdr>
        <w:top w:val="none" w:sz="0" w:space="0" w:color="auto"/>
        <w:left w:val="none" w:sz="0" w:space="0" w:color="auto"/>
        <w:bottom w:val="none" w:sz="0" w:space="0" w:color="auto"/>
        <w:right w:val="none" w:sz="0" w:space="0" w:color="auto"/>
      </w:divBdr>
    </w:div>
    <w:div w:id="1525363180">
      <w:bodyDiv w:val="1"/>
      <w:marLeft w:val="0"/>
      <w:marRight w:val="0"/>
      <w:marTop w:val="0"/>
      <w:marBottom w:val="0"/>
      <w:divBdr>
        <w:top w:val="none" w:sz="0" w:space="0" w:color="auto"/>
        <w:left w:val="none" w:sz="0" w:space="0" w:color="auto"/>
        <w:bottom w:val="none" w:sz="0" w:space="0" w:color="auto"/>
        <w:right w:val="none" w:sz="0" w:space="0" w:color="auto"/>
      </w:divBdr>
    </w:div>
    <w:div w:id="1616985886">
      <w:bodyDiv w:val="1"/>
      <w:marLeft w:val="0"/>
      <w:marRight w:val="0"/>
      <w:marTop w:val="0"/>
      <w:marBottom w:val="0"/>
      <w:divBdr>
        <w:top w:val="none" w:sz="0" w:space="0" w:color="auto"/>
        <w:left w:val="none" w:sz="0" w:space="0" w:color="auto"/>
        <w:bottom w:val="none" w:sz="0" w:space="0" w:color="auto"/>
        <w:right w:val="none" w:sz="0" w:space="0" w:color="auto"/>
      </w:divBdr>
    </w:div>
    <w:div w:id="1682391756">
      <w:bodyDiv w:val="1"/>
      <w:marLeft w:val="0"/>
      <w:marRight w:val="0"/>
      <w:marTop w:val="0"/>
      <w:marBottom w:val="0"/>
      <w:divBdr>
        <w:top w:val="none" w:sz="0" w:space="0" w:color="auto"/>
        <w:left w:val="none" w:sz="0" w:space="0" w:color="auto"/>
        <w:bottom w:val="none" w:sz="0" w:space="0" w:color="auto"/>
        <w:right w:val="none" w:sz="0" w:space="0" w:color="auto"/>
      </w:divBdr>
    </w:div>
    <w:div w:id="1683582045">
      <w:bodyDiv w:val="1"/>
      <w:marLeft w:val="0"/>
      <w:marRight w:val="0"/>
      <w:marTop w:val="0"/>
      <w:marBottom w:val="0"/>
      <w:divBdr>
        <w:top w:val="none" w:sz="0" w:space="0" w:color="auto"/>
        <w:left w:val="none" w:sz="0" w:space="0" w:color="auto"/>
        <w:bottom w:val="none" w:sz="0" w:space="0" w:color="auto"/>
        <w:right w:val="none" w:sz="0" w:space="0" w:color="auto"/>
      </w:divBdr>
    </w:div>
    <w:div w:id="1770344874">
      <w:bodyDiv w:val="1"/>
      <w:marLeft w:val="0"/>
      <w:marRight w:val="0"/>
      <w:marTop w:val="0"/>
      <w:marBottom w:val="0"/>
      <w:divBdr>
        <w:top w:val="none" w:sz="0" w:space="0" w:color="auto"/>
        <w:left w:val="none" w:sz="0" w:space="0" w:color="auto"/>
        <w:bottom w:val="none" w:sz="0" w:space="0" w:color="auto"/>
        <w:right w:val="none" w:sz="0" w:space="0" w:color="auto"/>
      </w:divBdr>
    </w:div>
    <w:div w:id="1925914020">
      <w:bodyDiv w:val="1"/>
      <w:marLeft w:val="0"/>
      <w:marRight w:val="0"/>
      <w:marTop w:val="0"/>
      <w:marBottom w:val="0"/>
      <w:divBdr>
        <w:top w:val="none" w:sz="0" w:space="0" w:color="auto"/>
        <w:left w:val="none" w:sz="0" w:space="0" w:color="auto"/>
        <w:bottom w:val="none" w:sz="0" w:space="0" w:color="auto"/>
        <w:right w:val="none" w:sz="0" w:space="0" w:color="auto"/>
      </w:divBdr>
    </w:div>
    <w:div w:id="206605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von.gov.uk/adult-social-care/care-and-support/older-adults-65/" TargetMode="External"/><Relationship Id="rId18" Type="http://schemas.openxmlformats.org/officeDocument/2006/relationships/hyperlink" Target="https://www.devonhealthandwellbeing.org.uk/library/topic-overviews/food-and-fuel-insecurity-2023/" TargetMode="External"/><Relationship Id="rId26" Type="http://schemas.openxmlformats.org/officeDocument/2006/relationships/hyperlink" Target="https://www.devon.gov.uk/haveyoursay/wp-content/uploads/sites/19/2023/01/Ageing-Well-in-Devon-Strategy-have-your-say.pdf" TargetMode="External"/><Relationship Id="rId3" Type="http://schemas.openxmlformats.org/officeDocument/2006/relationships/customXml" Target="../customXml/item3.xml"/><Relationship Id="rId21" Type="http://schemas.openxmlformats.org/officeDocument/2006/relationships/hyperlink" Target="https://onedevon.org.uk/our-work/services-and-support/eol/"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devonmind.com/find-help" TargetMode="External"/><Relationship Id="rId17" Type="http://schemas.openxmlformats.org/officeDocument/2006/relationships/hyperlink" Target="https://devoncf.com/wp-content/uploads/2023/10/Food-Insecurity-Food-Hub-published-report.pdf" TargetMode="External"/><Relationship Id="rId25" Type="http://schemas.openxmlformats.org/officeDocument/2006/relationships/hyperlink" Target="https://www.devonhealthandwellbeing.org.uk/librar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evon.gov.uk/adult-social-care/independent-living/transport/" TargetMode="External"/><Relationship Id="rId20" Type="http://schemas.openxmlformats.org/officeDocument/2006/relationships/hyperlink" Target="https://www.devon.gov.uk/adult-social-care/independent-living/health-and-wellbeing/nhshealthcheck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pt.nhs.uk/" TargetMode="External"/><Relationship Id="rId24" Type="http://schemas.openxmlformats.org/officeDocument/2006/relationships/hyperlink" Target="https://www.devonhealthandwellbeing.org.uk/public-health-dashboards/"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devonservices.org.uk/categories/older-people/" TargetMode="External"/><Relationship Id="rId23" Type="http://schemas.openxmlformats.org/officeDocument/2006/relationships/hyperlink" Target="https://www.devonhealthandwellbeing.org.uk/devon-annual-public-health-report-2023-24/" TargetMode="External"/><Relationship Id="rId28" Type="http://schemas.openxmlformats.org/officeDocument/2006/relationships/header" Target="header2.xml"/><Relationship Id="rId10" Type="http://schemas.openxmlformats.org/officeDocument/2006/relationships/hyperlink" Target="https://www.mentalhealthdevon.co.uk/" TargetMode="External"/><Relationship Id="rId19" Type="http://schemas.openxmlformats.org/officeDocument/2006/relationships/hyperlink" Target="https://www.devonhealthandwellbeing.org.uk/aphr/2023-24/"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orbayandsouthdevon.nhs.uk/uploads/dis-information-sheet-housing-options-for-older-people-p25.pdf" TargetMode="External"/><Relationship Id="rId22" Type="http://schemas.openxmlformats.org/officeDocument/2006/relationships/hyperlink" Target="https://www.devon.gov.uk/adult-social-care/independent-living/nhs/end-of-life-care-and-bereavement-suppor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2CBE59306AD47A8B5152E22C04D0D" ma:contentTypeVersion="6" ma:contentTypeDescription="Create a new document." ma:contentTypeScope="" ma:versionID="18e7e6222753f332930e4468b62a2dac">
  <xsd:schema xmlns:xsd="http://www.w3.org/2001/XMLSchema" xmlns:xs="http://www.w3.org/2001/XMLSchema" xmlns:p="http://schemas.microsoft.com/office/2006/metadata/properties" xmlns:ns2="6780b55e-82f6-4014-9a5a-f2bbf33b139c" xmlns:ns3="e425185b-b07e-442a-9ca1-e30c5e21529a" targetNamespace="http://schemas.microsoft.com/office/2006/metadata/properties" ma:root="true" ma:fieldsID="649ede5b44ea5b6d5d1acdc9f3d35939" ns2:_="" ns3:_="">
    <xsd:import namespace="6780b55e-82f6-4014-9a5a-f2bbf33b139c"/>
    <xsd:import namespace="e425185b-b07e-442a-9ca1-e30c5e2152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0b55e-82f6-4014-9a5a-f2bbf33b1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25185b-b07e-442a-9ca1-e30c5e2152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D0040-F2DF-4857-B072-E2C9DA41D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0b55e-82f6-4014-9a5a-f2bbf33b139c"/>
    <ds:schemaRef ds:uri="e425185b-b07e-442a-9ca1-e30c5e215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DA758-6ABD-4552-A072-CC57E03767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C00ACF-E451-4AF1-9E45-BC8DB0282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1723</Words>
  <Characters>9945</Characters>
  <Application>Microsoft Office Word</Application>
  <DocSecurity>0</DocSecurity>
  <Lines>175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Moloney-Lucey</dc:creator>
  <cp:keywords/>
  <dc:description/>
  <cp:lastModifiedBy>Donna Luckett</cp:lastModifiedBy>
  <cp:revision>100</cp:revision>
  <dcterms:created xsi:type="dcterms:W3CDTF">2025-10-15T09:45:00Z</dcterms:created>
  <dcterms:modified xsi:type="dcterms:W3CDTF">2025-12-03T11:52:00Z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0x0101005072CBE59306AD47A8B5152E22C04D0D</vt:lpwstr>
  </property>
</Properties>
</file>